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djustRightInd w:val="0"/>
        <w:snapToGrid w:val="0"/>
        <w:spacing w:before="468" w:beforeLines="150" w:after="156" w:afterLines="50" w:line="240" w:lineRule="auto"/>
        <w:jc w:val="center"/>
        <w:rPr>
          <w:rFonts w:ascii="黑体" w:hAnsi="黑体" w:eastAsia="黑体"/>
          <w:b/>
          <w:color w:val="auto"/>
          <w:kern w:val="0"/>
          <w:sz w:val="32"/>
          <w:szCs w:val="32"/>
        </w:rPr>
      </w:pPr>
      <w:r>
        <w:rPr>
          <w:rFonts w:ascii="黑体" w:hAnsi="黑体" w:eastAsia="黑体"/>
          <w:b/>
          <w:bCs/>
          <w:color w:val="auto"/>
          <w:spacing w:val="6"/>
          <w:kern w:val="0"/>
          <w:sz w:val="32"/>
          <w:szCs w:val="32"/>
        </w:rPr>
        <w:t>“主动健康和老龄化科技应对”</w:t>
      </w:r>
    </w:p>
    <w:p>
      <w:pPr>
        <w:widowControl/>
        <w:shd w:val="clear" w:color="auto" w:fill="FFFFFF"/>
        <w:adjustRightInd w:val="0"/>
        <w:snapToGrid w:val="0"/>
        <w:spacing w:before="468" w:beforeLines="150" w:after="156" w:afterLines="50" w:line="240" w:lineRule="auto"/>
        <w:jc w:val="center"/>
        <w:rPr>
          <w:rFonts w:ascii="黑体" w:hAnsi="黑体" w:eastAsia="黑体"/>
          <w:b/>
          <w:bCs/>
          <w:color w:val="auto"/>
          <w:spacing w:val="6"/>
          <w:kern w:val="0"/>
          <w:sz w:val="32"/>
          <w:szCs w:val="32"/>
        </w:rPr>
      </w:pPr>
      <w:r>
        <w:rPr>
          <w:rFonts w:ascii="黑体" w:hAnsi="黑体" w:eastAsia="黑体"/>
          <w:b/>
          <w:bCs/>
          <w:color w:val="auto"/>
          <w:spacing w:val="6"/>
          <w:kern w:val="0"/>
          <w:sz w:val="32"/>
          <w:szCs w:val="32"/>
        </w:rPr>
        <w:t>重点专项2018年度申报指南</w:t>
      </w:r>
    </w:p>
    <w:p>
      <w:pPr>
        <w:widowControl/>
        <w:shd w:val="clear" w:color="auto" w:fill="FFFFFF"/>
        <w:adjustRightInd w:val="0"/>
        <w:snapToGrid w:val="0"/>
        <w:spacing w:before="156" w:beforeLines="50" w:after="156" w:afterLines="50" w:line="360" w:lineRule="auto"/>
        <w:jc w:val="center"/>
        <w:rPr>
          <w:rFonts w:ascii="仿宋" w:hAnsi="仿宋" w:eastAsia="仿宋"/>
          <w:color w:val="auto"/>
          <w:kern w:val="0"/>
          <w:sz w:val="24"/>
          <w:szCs w:val="24"/>
        </w:rPr>
      </w:pPr>
    </w:p>
    <w:p>
      <w:pPr>
        <w:autoSpaceDE w:val="0"/>
        <w:autoSpaceDN w:val="0"/>
        <w:adjustRightInd w:val="0"/>
        <w:snapToGrid w:val="0"/>
        <w:spacing w:after="0" w:line="360" w:lineRule="auto"/>
        <w:ind w:firstLine="480" w:firstLineChars="200"/>
        <w:rPr>
          <w:rFonts w:ascii="仿宋" w:hAnsi="仿宋" w:eastAsia="仿宋"/>
          <w:b/>
          <w:color w:val="auto"/>
          <w:sz w:val="24"/>
          <w:szCs w:val="24"/>
        </w:rPr>
      </w:pPr>
      <w:r>
        <w:rPr>
          <w:rFonts w:ascii="仿宋" w:hAnsi="仿宋" w:eastAsia="仿宋"/>
          <w:color w:val="auto"/>
          <w:sz w:val="24"/>
          <w:szCs w:val="24"/>
        </w:rPr>
        <w:t>健康是人类最普遍最</w:t>
      </w:r>
      <w:r>
        <w:rPr>
          <w:rFonts w:hint="eastAsia" w:ascii="仿宋" w:hAnsi="仿宋" w:eastAsia="仿宋"/>
          <w:color w:val="auto"/>
          <w:sz w:val="24"/>
          <w:szCs w:val="24"/>
        </w:rPr>
        <w:t>根本</w:t>
      </w:r>
      <w:r>
        <w:rPr>
          <w:rFonts w:ascii="仿宋" w:hAnsi="仿宋" w:eastAsia="仿宋"/>
          <w:color w:val="auto"/>
          <w:sz w:val="24"/>
          <w:szCs w:val="24"/>
        </w:rPr>
        <w:t>的需求</w:t>
      </w:r>
      <w:r>
        <w:rPr>
          <w:rFonts w:hint="eastAsia" w:ascii="仿宋" w:hAnsi="仿宋" w:eastAsia="仿宋"/>
          <w:color w:val="auto"/>
          <w:sz w:val="24"/>
          <w:szCs w:val="24"/>
        </w:rPr>
        <w:t>，人民健康是民族昌盛和国家富强的重要标志</w:t>
      </w:r>
      <w:r>
        <w:rPr>
          <w:rFonts w:ascii="仿宋" w:hAnsi="仿宋" w:eastAsia="仿宋"/>
          <w:color w:val="auto"/>
          <w:sz w:val="24"/>
          <w:szCs w:val="24"/>
        </w:rPr>
        <w:t>。</w:t>
      </w:r>
      <w:r>
        <w:rPr>
          <w:rFonts w:hint="eastAsia" w:ascii="仿宋" w:hAnsi="仿宋" w:eastAsia="仿宋"/>
          <w:color w:val="auto"/>
          <w:sz w:val="24"/>
          <w:szCs w:val="24"/>
        </w:rPr>
        <w:t>随着</w:t>
      </w:r>
      <w:r>
        <w:rPr>
          <w:rFonts w:ascii="仿宋" w:hAnsi="仿宋" w:eastAsia="仿宋"/>
          <w:color w:val="auto"/>
          <w:sz w:val="24"/>
          <w:szCs w:val="24"/>
        </w:rPr>
        <w:t>经济社会的</w:t>
      </w:r>
      <w:r>
        <w:rPr>
          <w:rFonts w:hint="eastAsia" w:ascii="仿宋" w:hAnsi="仿宋" w:eastAsia="仿宋"/>
          <w:color w:val="auto"/>
          <w:sz w:val="24"/>
          <w:szCs w:val="24"/>
        </w:rPr>
        <w:t>发展</w:t>
      </w:r>
      <w:r>
        <w:rPr>
          <w:rFonts w:ascii="仿宋" w:hAnsi="仿宋" w:eastAsia="仿宋"/>
          <w:color w:val="auto"/>
          <w:sz w:val="24"/>
          <w:szCs w:val="24"/>
        </w:rPr>
        <w:t>，尤其是我国人口老龄化</w:t>
      </w:r>
      <w:r>
        <w:rPr>
          <w:rFonts w:hint="eastAsia" w:ascii="仿宋" w:hAnsi="仿宋" w:eastAsia="仿宋"/>
          <w:color w:val="auto"/>
          <w:sz w:val="24"/>
          <w:szCs w:val="24"/>
        </w:rPr>
        <w:t>快</w:t>
      </w:r>
      <w:r>
        <w:rPr>
          <w:rFonts w:ascii="仿宋" w:hAnsi="仿宋" w:eastAsia="仿宋"/>
          <w:color w:val="auto"/>
          <w:sz w:val="24"/>
          <w:szCs w:val="24"/>
        </w:rPr>
        <w:t>速</w:t>
      </w:r>
      <w:r>
        <w:rPr>
          <w:rFonts w:hint="eastAsia" w:ascii="仿宋" w:hAnsi="仿宋" w:eastAsia="仿宋"/>
          <w:color w:val="auto"/>
          <w:sz w:val="24"/>
          <w:szCs w:val="24"/>
        </w:rPr>
        <w:t>发展，我国国民</w:t>
      </w:r>
      <w:r>
        <w:rPr>
          <w:rFonts w:ascii="仿宋" w:hAnsi="仿宋" w:eastAsia="仿宋"/>
          <w:color w:val="auto"/>
          <w:sz w:val="24"/>
          <w:szCs w:val="24"/>
        </w:rPr>
        <w:t>对健康的需求快速增长，</w:t>
      </w:r>
      <w:r>
        <w:rPr>
          <w:rFonts w:hint="eastAsia" w:ascii="仿宋" w:hAnsi="仿宋" w:eastAsia="仿宋"/>
          <w:color w:val="auto"/>
          <w:sz w:val="24"/>
          <w:szCs w:val="24"/>
        </w:rPr>
        <w:t>人们</w:t>
      </w:r>
      <w:r>
        <w:rPr>
          <w:rFonts w:ascii="仿宋" w:hAnsi="仿宋" w:eastAsia="仿宋"/>
          <w:color w:val="auto"/>
          <w:sz w:val="24"/>
          <w:szCs w:val="24"/>
        </w:rPr>
        <w:t>在希望“好看病、</w:t>
      </w:r>
      <w:r>
        <w:rPr>
          <w:rFonts w:hint="eastAsia" w:ascii="仿宋" w:hAnsi="仿宋" w:eastAsia="仿宋"/>
          <w:color w:val="auto"/>
          <w:sz w:val="24"/>
          <w:szCs w:val="24"/>
        </w:rPr>
        <w:t>看好病</w:t>
      </w:r>
      <w:r>
        <w:rPr>
          <w:rFonts w:ascii="仿宋" w:hAnsi="仿宋" w:eastAsia="仿宋"/>
          <w:color w:val="auto"/>
          <w:sz w:val="24"/>
          <w:szCs w:val="24"/>
        </w:rPr>
        <w:t>”的</w:t>
      </w:r>
      <w:r>
        <w:rPr>
          <w:rFonts w:hint="eastAsia" w:ascii="仿宋" w:hAnsi="仿宋" w:eastAsia="仿宋"/>
          <w:color w:val="auto"/>
          <w:sz w:val="24"/>
          <w:szCs w:val="24"/>
        </w:rPr>
        <w:t>同时</w:t>
      </w:r>
      <w:r>
        <w:rPr>
          <w:rFonts w:ascii="仿宋" w:hAnsi="仿宋" w:eastAsia="仿宋"/>
          <w:color w:val="auto"/>
          <w:sz w:val="24"/>
          <w:szCs w:val="24"/>
        </w:rPr>
        <w:t>，</w:t>
      </w:r>
      <w:r>
        <w:rPr>
          <w:rFonts w:hint="eastAsia" w:ascii="仿宋" w:hAnsi="仿宋" w:eastAsia="仿宋"/>
          <w:color w:val="auto"/>
          <w:sz w:val="24"/>
          <w:szCs w:val="24"/>
        </w:rPr>
        <w:t>更加</w:t>
      </w:r>
      <w:r>
        <w:rPr>
          <w:rFonts w:ascii="仿宋" w:hAnsi="仿宋" w:eastAsia="仿宋"/>
          <w:color w:val="auto"/>
          <w:sz w:val="24"/>
          <w:szCs w:val="24"/>
        </w:rPr>
        <w:t>关注</w:t>
      </w:r>
      <w:r>
        <w:rPr>
          <w:rFonts w:hint="eastAsia" w:ascii="仿宋" w:hAnsi="仿宋" w:eastAsia="仿宋"/>
          <w:color w:val="auto"/>
          <w:sz w:val="24"/>
          <w:szCs w:val="24"/>
        </w:rPr>
        <w:t>疾病</w:t>
      </w:r>
      <w:r>
        <w:rPr>
          <w:rFonts w:ascii="仿宋" w:hAnsi="仿宋" w:eastAsia="仿宋"/>
          <w:color w:val="auto"/>
          <w:sz w:val="24"/>
          <w:szCs w:val="24"/>
        </w:rPr>
        <w:t>的预防、个体功能的完</w:t>
      </w:r>
      <w:r>
        <w:rPr>
          <w:rFonts w:hint="eastAsia" w:ascii="仿宋" w:hAnsi="仿宋" w:eastAsia="仿宋"/>
          <w:color w:val="auto"/>
          <w:sz w:val="24"/>
          <w:szCs w:val="24"/>
        </w:rPr>
        <w:t>善</w:t>
      </w:r>
      <w:r>
        <w:rPr>
          <w:rFonts w:ascii="仿宋" w:hAnsi="仿宋" w:eastAsia="仿宋"/>
          <w:color w:val="auto"/>
          <w:sz w:val="24"/>
          <w:szCs w:val="24"/>
        </w:rPr>
        <w:t>、健康状态</w:t>
      </w:r>
      <w:r>
        <w:rPr>
          <w:rFonts w:hint="eastAsia" w:ascii="仿宋" w:hAnsi="仿宋" w:eastAsia="仿宋"/>
          <w:color w:val="auto"/>
          <w:sz w:val="24"/>
          <w:szCs w:val="24"/>
        </w:rPr>
        <w:t>的良好</w:t>
      </w:r>
      <w:r>
        <w:rPr>
          <w:rFonts w:ascii="仿宋" w:hAnsi="仿宋" w:eastAsia="仿宋"/>
          <w:color w:val="auto"/>
          <w:sz w:val="24"/>
          <w:szCs w:val="24"/>
        </w:rPr>
        <w:t>，</w:t>
      </w:r>
      <w:r>
        <w:rPr>
          <w:rFonts w:hint="eastAsia" w:ascii="仿宋" w:hAnsi="仿宋" w:eastAsia="仿宋"/>
          <w:color w:val="auto"/>
          <w:sz w:val="24"/>
          <w:szCs w:val="24"/>
        </w:rPr>
        <w:t>以及</w:t>
      </w:r>
      <w:r>
        <w:rPr>
          <w:rFonts w:ascii="仿宋" w:hAnsi="仿宋" w:eastAsia="仿宋"/>
          <w:color w:val="auto"/>
          <w:sz w:val="24"/>
          <w:szCs w:val="24"/>
        </w:rPr>
        <w:t>健康寿命的延长。</w:t>
      </w:r>
      <w:r>
        <w:rPr>
          <w:rFonts w:hint="eastAsia" w:ascii="仿宋" w:hAnsi="仿宋" w:eastAsia="仿宋"/>
          <w:color w:val="auto"/>
          <w:sz w:val="24"/>
          <w:szCs w:val="24"/>
        </w:rPr>
        <w:t>2016</w:t>
      </w:r>
      <w:r>
        <w:rPr>
          <w:rFonts w:ascii="仿宋" w:hAnsi="仿宋" w:eastAsia="仿宋"/>
          <w:color w:val="auto"/>
          <w:sz w:val="24"/>
          <w:szCs w:val="24"/>
        </w:rPr>
        <w:t>年8</w:t>
      </w:r>
      <w:r>
        <w:rPr>
          <w:rFonts w:hint="eastAsia" w:ascii="仿宋" w:hAnsi="仿宋" w:eastAsia="仿宋"/>
          <w:color w:val="auto"/>
          <w:sz w:val="24"/>
          <w:szCs w:val="24"/>
        </w:rPr>
        <w:t>月</w:t>
      </w:r>
      <w:r>
        <w:rPr>
          <w:rFonts w:ascii="仿宋" w:hAnsi="仿宋" w:eastAsia="仿宋"/>
          <w:color w:val="auto"/>
          <w:sz w:val="24"/>
          <w:szCs w:val="24"/>
        </w:rPr>
        <w:t>召开的</w:t>
      </w:r>
      <w:r>
        <w:rPr>
          <w:rFonts w:hint="eastAsia" w:ascii="仿宋" w:hAnsi="仿宋" w:eastAsia="仿宋"/>
          <w:color w:val="auto"/>
          <w:sz w:val="24"/>
          <w:szCs w:val="24"/>
        </w:rPr>
        <w:t>全国</w:t>
      </w:r>
      <w:r>
        <w:rPr>
          <w:rFonts w:ascii="仿宋" w:hAnsi="仿宋" w:eastAsia="仿宋"/>
          <w:color w:val="auto"/>
          <w:sz w:val="24"/>
          <w:szCs w:val="24"/>
        </w:rPr>
        <w:t>卫生</w:t>
      </w:r>
      <w:r>
        <w:rPr>
          <w:rFonts w:hint="eastAsia" w:ascii="仿宋" w:hAnsi="仿宋" w:eastAsia="仿宋"/>
          <w:color w:val="auto"/>
          <w:sz w:val="24"/>
          <w:szCs w:val="24"/>
        </w:rPr>
        <w:t>与</w:t>
      </w:r>
      <w:r>
        <w:rPr>
          <w:rFonts w:ascii="仿宋" w:hAnsi="仿宋" w:eastAsia="仿宋"/>
          <w:color w:val="auto"/>
          <w:sz w:val="24"/>
          <w:szCs w:val="24"/>
        </w:rPr>
        <w:t>健康大会上，</w:t>
      </w:r>
      <w:r>
        <w:rPr>
          <w:rFonts w:hint="eastAsia" w:ascii="仿宋" w:hAnsi="仿宋" w:eastAsia="仿宋"/>
          <w:color w:val="auto"/>
          <w:sz w:val="24"/>
          <w:szCs w:val="24"/>
        </w:rPr>
        <w:t>习近平</w:t>
      </w:r>
      <w:r>
        <w:rPr>
          <w:rFonts w:ascii="仿宋" w:hAnsi="仿宋" w:eastAsia="仿宋"/>
          <w:color w:val="auto"/>
          <w:sz w:val="24"/>
          <w:szCs w:val="24"/>
        </w:rPr>
        <w:t>总书记明确指出，</w:t>
      </w:r>
      <w:r>
        <w:rPr>
          <w:rFonts w:hint="eastAsia" w:ascii="仿宋" w:hAnsi="仿宋" w:eastAsia="仿宋"/>
          <w:color w:val="auto"/>
          <w:sz w:val="24"/>
          <w:szCs w:val="24"/>
        </w:rPr>
        <w:t>要</w:t>
      </w:r>
      <w:r>
        <w:rPr>
          <w:rFonts w:ascii="仿宋" w:hAnsi="仿宋" w:eastAsia="仿宋"/>
          <w:color w:val="auto"/>
          <w:sz w:val="24"/>
          <w:szCs w:val="24"/>
        </w:rPr>
        <w:t>“</w:t>
      </w:r>
      <w:r>
        <w:rPr>
          <w:rFonts w:hint="eastAsia" w:ascii="仿宋" w:hAnsi="仿宋" w:eastAsia="仿宋"/>
          <w:color w:val="auto"/>
          <w:sz w:val="24"/>
          <w:szCs w:val="24"/>
        </w:rPr>
        <w:t>把以治病</w:t>
      </w:r>
      <w:r>
        <w:rPr>
          <w:rFonts w:ascii="仿宋" w:hAnsi="仿宋" w:eastAsia="仿宋"/>
          <w:color w:val="auto"/>
          <w:sz w:val="24"/>
          <w:szCs w:val="24"/>
        </w:rPr>
        <w:t>为中心转变为</w:t>
      </w:r>
      <w:bookmarkStart w:id="0" w:name="OLE_LINK1"/>
      <w:r>
        <w:rPr>
          <w:rFonts w:ascii="仿宋" w:hAnsi="仿宋" w:eastAsia="仿宋"/>
          <w:color w:val="auto"/>
          <w:sz w:val="24"/>
          <w:szCs w:val="24"/>
        </w:rPr>
        <w:t>以</w:t>
      </w:r>
      <w:r>
        <w:rPr>
          <w:rFonts w:ascii="仿宋" w:hAnsi="仿宋" w:eastAsia="仿宋"/>
          <w:b/>
          <w:color w:val="auto"/>
          <w:sz w:val="24"/>
          <w:szCs w:val="24"/>
        </w:rPr>
        <w:t>人民健康为中心，</w:t>
      </w:r>
      <w:r>
        <w:rPr>
          <w:rFonts w:hint="eastAsia" w:ascii="仿宋" w:hAnsi="仿宋" w:eastAsia="仿宋"/>
          <w:b/>
          <w:color w:val="auto"/>
          <w:sz w:val="24"/>
          <w:szCs w:val="24"/>
        </w:rPr>
        <w:t>关注</w:t>
      </w:r>
      <w:r>
        <w:rPr>
          <w:rFonts w:ascii="仿宋" w:hAnsi="仿宋" w:eastAsia="仿宋"/>
          <w:b/>
          <w:color w:val="auto"/>
          <w:sz w:val="24"/>
          <w:szCs w:val="24"/>
        </w:rPr>
        <w:t>生命全周期、</w:t>
      </w:r>
      <w:r>
        <w:rPr>
          <w:rFonts w:hint="eastAsia" w:ascii="仿宋" w:hAnsi="仿宋" w:eastAsia="仿宋"/>
          <w:b/>
          <w:color w:val="auto"/>
          <w:sz w:val="24"/>
          <w:szCs w:val="24"/>
        </w:rPr>
        <w:t>健康</w:t>
      </w:r>
      <w:r>
        <w:rPr>
          <w:rFonts w:ascii="仿宋" w:hAnsi="仿宋" w:eastAsia="仿宋"/>
          <w:b/>
          <w:color w:val="auto"/>
          <w:sz w:val="24"/>
          <w:szCs w:val="24"/>
        </w:rPr>
        <w:t>全</w:t>
      </w:r>
      <w:r>
        <w:rPr>
          <w:rFonts w:hint="eastAsia" w:ascii="仿宋" w:hAnsi="仿宋" w:eastAsia="仿宋"/>
          <w:b/>
          <w:color w:val="auto"/>
          <w:sz w:val="24"/>
          <w:szCs w:val="24"/>
        </w:rPr>
        <w:t>过程</w:t>
      </w:r>
      <w:bookmarkEnd w:id="0"/>
      <w:r>
        <w:rPr>
          <w:rFonts w:ascii="仿宋" w:hAnsi="仿宋" w:eastAsia="仿宋"/>
          <w:color w:val="auto"/>
          <w:sz w:val="24"/>
          <w:szCs w:val="24"/>
        </w:rPr>
        <w:t>”</w:t>
      </w:r>
      <w:r>
        <w:rPr>
          <w:rFonts w:ascii="仿宋" w:hAnsi="仿宋" w:eastAsia="仿宋"/>
          <w:b/>
          <w:color w:val="auto"/>
          <w:sz w:val="24"/>
          <w:szCs w:val="24"/>
        </w:rPr>
        <w:t>。</w:t>
      </w:r>
    </w:p>
    <w:p>
      <w:pPr>
        <w:autoSpaceDE w:val="0"/>
        <w:autoSpaceDN w:val="0"/>
        <w:adjustRightInd w:val="0"/>
        <w:snapToGrid w:val="0"/>
        <w:spacing w:after="0"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本专项旨在贯彻中央精神，落实全国科技创新大会和全国卫生与健康大会要求，以及国家《“健康中国2030”规划</w:t>
      </w:r>
      <w:r>
        <w:rPr>
          <w:rFonts w:ascii="仿宋" w:hAnsi="仿宋" w:eastAsia="仿宋"/>
          <w:color w:val="auto"/>
          <w:sz w:val="24"/>
          <w:szCs w:val="24"/>
        </w:rPr>
        <w:t>纲</w:t>
      </w:r>
      <w:r>
        <w:rPr>
          <w:rFonts w:hint="eastAsia" w:ascii="仿宋" w:hAnsi="仿宋" w:eastAsia="仿宋"/>
          <w:color w:val="auto"/>
          <w:sz w:val="24"/>
          <w:szCs w:val="24"/>
        </w:rPr>
        <w:t>要》、《关于促进健康服务业发展的若干意见》、《关于加快发展养老服务业的若干意见》、《关于加快发展体育产业促进体育消费的若干意见》、《关于加快发展康复辅助器具产业的若干意见》、《国家残疾预防行动计划（2016-2020年）》、《残疾预防和残疾人康复条例》及《关于积极推进“互联网+”行动的指导意见》等战略部署，</w:t>
      </w:r>
      <w:r>
        <w:rPr>
          <w:rFonts w:hint="eastAsia" w:ascii="仿宋" w:hAnsi="仿宋" w:eastAsia="仿宋" w:cs="Helvetica Neue"/>
          <w:color w:val="auto"/>
          <w:kern w:val="0"/>
          <w:sz w:val="24"/>
          <w:szCs w:val="24"/>
        </w:rPr>
        <w:t>突出“战略前移、关口前移”</w:t>
      </w:r>
      <w:r>
        <w:rPr>
          <w:rFonts w:ascii="仿宋" w:hAnsi="仿宋" w:eastAsia="仿宋" w:cs="Helvetica Neue"/>
          <w:color w:val="auto"/>
          <w:kern w:val="0"/>
          <w:sz w:val="24"/>
          <w:szCs w:val="24"/>
        </w:rPr>
        <w:t>，</w:t>
      </w:r>
      <w:r>
        <w:rPr>
          <w:rFonts w:hint="eastAsia" w:ascii="仿宋" w:hAnsi="仿宋" w:eastAsia="仿宋"/>
          <w:color w:val="auto"/>
          <w:sz w:val="24"/>
          <w:szCs w:val="24"/>
        </w:rPr>
        <w:t>聚焦健康风险因素控制、老龄健康服务等关键问题，融合移动互联网、大数据、可穿戴、云计算等新一代信息技术，以健康失衡状态的动态辨识，健康风险评估与健康自主管理为主攻方向，重点突破人体健康状态量化分层、健康信息的连续动态采集、健康大数据融合分析、个性化健身技术等难点和瓶颈问题，引领构建以主动健康科技为引领的</w:t>
      </w:r>
      <w:r>
        <w:rPr>
          <w:rFonts w:ascii="仿宋" w:hAnsi="仿宋" w:eastAsia="仿宋"/>
          <w:color w:val="auto"/>
          <w:sz w:val="24"/>
          <w:szCs w:val="24"/>
        </w:rPr>
        <w:t>一体化健康服务体系，</w:t>
      </w:r>
      <w:r>
        <w:rPr>
          <w:rFonts w:hint="eastAsia" w:ascii="仿宋" w:hAnsi="仿宋" w:eastAsia="仿宋" w:cs="宋体"/>
          <w:color w:val="auto"/>
          <w:kern w:val="0"/>
          <w:sz w:val="24"/>
          <w:szCs w:val="24"/>
        </w:rPr>
        <w:t>提升健康保障能力和自主性</w:t>
      </w:r>
      <w:r>
        <w:rPr>
          <w:rFonts w:hint="eastAsia" w:ascii="仿宋" w:hAnsi="仿宋" w:eastAsia="仿宋"/>
          <w:color w:val="auto"/>
          <w:sz w:val="24"/>
          <w:szCs w:val="24"/>
        </w:rPr>
        <w:t>；发展适合我国国情的科技养老服务标准及评价体系，推进养老、康复、护理、医疗一体化的老龄服务体系建设</w:t>
      </w:r>
      <w:r>
        <w:rPr>
          <w:rFonts w:ascii="仿宋" w:hAnsi="仿宋" w:eastAsia="仿宋" w:cs="Helvetica Neue"/>
          <w:color w:val="auto"/>
          <w:kern w:val="0"/>
          <w:sz w:val="24"/>
          <w:szCs w:val="24"/>
        </w:rPr>
        <w:t>，</w:t>
      </w:r>
      <w:r>
        <w:rPr>
          <w:rFonts w:hint="eastAsia" w:ascii="仿宋" w:hAnsi="仿宋" w:eastAsia="仿宋" w:cs="Helvetica Neue"/>
          <w:color w:val="auto"/>
          <w:kern w:val="0"/>
          <w:sz w:val="24"/>
          <w:szCs w:val="24"/>
        </w:rPr>
        <w:t>构建连续性服务的生命全过程危险因素控制、行为干预、疾病管理与健康服务的技术产品支撑体系</w:t>
      </w:r>
      <w:r>
        <w:rPr>
          <w:rFonts w:hint="eastAsia" w:ascii="仿宋" w:hAnsi="仿宋" w:eastAsia="仿宋"/>
          <w:color w:val="auto"/>
          <w:sz w:val="24"/>
          <w:szCs w:val="24"/>
        </w:rPr>
        <w:t>，为积极应对人口老龄化提供科技支撑。</w:t>
      </w:r>
      <w:r>
        <w:rPr>
          <w:rFonts w:ascii="仿宋" w:hAnsi="仿宋" w:eastAsia="仿宋"/>
          <w:color w:val="auto"/>
          <w:sz w:val="24"/>
          <w:szCs w:val="24"/>
        </w:rPr>
        <w:t xml:space="preserve"> </w:t>
      </w:r>
    </w:p>
    <w:p>
      <w:pPr>
        <w:widowControl/>
        <w:adjustRightInd w:val="0"/>
        <w:snapToGrid w:val="0"/>
        <w:spacing w:before="156" w:beforeLines="50" w:after="156" w:afterLines="50" w:line="360" w:lineRule="auto"/>
        <w:ind w:firstLine="420"/>
        <w:jc w:val="left"/>
        <w:rPr>
          <w:rFonts w:ascii="仿宋" w:hAnsi="仿宋" w:eastAsia="仿宋"/>
          <w:b/>
          <w:bCs/>
          <w:color w:val="auto"/>
          <w:kern w:val="44"/>
          <w:sz w:val="24"/>
          <w:szCs w:val="24"/>
          <w:lang w:val="zh-CN"/>
        </w:rPr>
      </w:pPr>
      <w:r>
        <w:rPr>
          <w:rFonts w:hint="eastAsia" w:ascii="仿宋" w:hAnsi="仿宋" w:eastAsia="仿宋"/>
          <w:color w:val="auto"/>
          <w:sz w:val="24"/>
          <w:szCs w:val="24"/>
        </w:rPr>
        <w:t>本专项按照全链条部署、一体化实施的原则，部署健康生物学机制及健康影响因素的关键基础研究；主动健康关键技术和产品研发；老年常见疾病防控和康复护理技术研究以及主动健康和老年服务科技示范与应用推广四个重点任务。</w:t>
      </w:r>
      <w:r>
        <w:rPr>
          <w:rFonts w:ascii="仿宋" w:hAnsi="仿宋" w:eastAsia="仿宋"/>
          <w:sz w:val="24"/>
          <w:szCs w:val="24"/>
        </w:rPr>
        <w:br w:type="page"/>
      </w:r>
    </w:p>
    <w:p>
      <w:pPr>
        <w:pStyle w:val="2"/>
        <w:adjustRightInd w:val="0"/>
        <w:snapToGrid w:val="0"/>
        <w:spacing w:before="156" w:beforeLines="50" w:after="156" w:afterLines="50" w:line="360" w:lineRule="auto"/>
        <w:rPr>
          <w:rFonts w:ascii="仿宋" w:hAnsi="仿宋" w:eastAsia="仿宋"/>
          <w:sz w:val="24"/>
          <w:szCs w:val="24"/>
        </w:rPr>
      </w:pPr>
      <w:r>
        <w:rPr>
          <w:rFonts w:ascii="仿宋" w:hAnsi="仿宋" w:eastAsia="仿宋"/>
          <w:sz w:val="24"/>
          <w:szCs w:val="24"/>
        </w:rPr>
        <w:t>任务一：健康生物学机制及健康影响因素的关键基础研究</w:t>
      </w:r>
    </w:p>
    <w:p>
      <w:pPr>
        <w:pStyle w:val="3"/>
        <w:adjustRightInd w:val="0"/>
        <w:snapToGrid w:val="0"/>
        <w:spacing w:before="156" w:beforeLines="50" w:after="156" w:afterLines="50" w:line="360" w:lineRule="auto"/>
        <w:rPr>
          <w:rFonts w:ascii="仿宋" w:hAnsi="仿宋" w:eastAsia="仿宋"/>
          <w:sz w:val="24"/>
          <w:szCs w:val="24"/>
        </w:rPr>
      </w:pPr>
      <w:r>
        <w:rPr>
          <w:rFonts w:ascii="仿宋" w:hAnsi="仿宋" w:eastAsia="仿宋"/>
          <w:sz w:val="24"/>
          <w:szCs w:val="24"/>
        </w:rPr>
        <w:t>1.1健康生物学机制及影响因素的基础研究</w:t>
      </w:r>
    </w:p>
    <w:p>
      <w:pPr>
        <w:pStyle w:val="4"/>
        <w:adjustRightInd w:val="0"/>
        <w:snapToGrid w:val="0"/>
        <w:spacing w:before="156" w:beforeLines="50" w:after="156" w:afterLines="50" w:line="360" w:lineRule="auto"/>
        <w:rPr>
          <w:rFonts w:ascii="仿宋" w:hAnsi="仿宋" w:eastAsia="仿宋"/>
          <w:sz w:val="24"/>
          <w:szCs w:val="24"/>
        </w:rPr>
      </w:pPr>
      <w:r>
        <w:rPr>
          <w:rFonts w:ascii="仿宋" w:hAnsi="仿宋" w:eastAsia="仿宋"/>
          <w:sz w:val="24"/>
          <w:szCs w:val="24"/>
        </w:rPr>
        <w:t>1.1.1增龄相关的健康状态减损的生物学基础研究</w:t>
      </w:r>
    </w:p>
    <w:p>
      <w:pPr>
        <w:adjustRightInd w:val="0"/>
        <w:snapToGrid w:val="0"/>
        <w:spacing w:before="156" w:beforeLines="50" w:after="156" w:afterLines="50" w:line="360" w:lineRule="auto"/>
        <w:ind w:firstLine="482" w:firstLineChars="200"/>
        <w:rPr>
          <w:rFonts w:ascii="仿宋" w:hAnsi="仿宋" w:eastAsia="仿宋"/>
          <w:color w:val="auto"/>
          <w:sz w:val="24"/>
          <w:szCs w:val="24"/>
        </w:rPr>
      </w:pPr>
      <w:r>
        <w:rPr>
          <w:rFonts w:ascii="仿宋" w:hAnsi="仿宋" w:eastAsia="仿宋"/>
          <w:b/>
          <w:color w:val="auto"/>
          <w:sz w:val="24"/>
          <w:szCs w:val="24"/>
        </w:rPr>
        <w:t>研究内容:</w:t>
      </w:r>
      <w:r>
        <w:rPr>
          <w:rFonts w:ascii="仿宋" w:hAnsi="仿宋" w:eastAsia="仿宋"/>
          <w:color w:val="auto"/>
          <w:sz w:val="24"/>
          <w:szCs w:val="24"/>
        </w:rPr>
        <w:t>利用人类早衰症和灵长类动物模型，结合基因编辑和多组学分析，研究增龄相关的器官、组织和细胞稳态改变的分子信号网络，绘制增龄伴随的表观遗传变化图谱，探讨人类器官功能减退及向退行性变演化的细胞分子机制，寻找新的器官功能减退相关基因和分子标志物。</w:t>
      </w:r>
    </w:p>
    <w:p>
      <w:pPr>
        <w:adjustRightInd w:val="0"/>
        <w:snapToGrid w:val="0"/>
        <w:spacing w:before="156" w:beforeLines="50" w:after="156" w:afterLines="50" w:line="360" w:lineRule="auto"/>
        <w:ind w:firstLine="482" w:firstLineChars="200"/>
        <w:rPr>
          <w:rFonts w:ascii="仿宋" w:hAnsi="仿宋" w:eastAsia="仿宋"/>
          <w:color w:val="auto"/>
          <w:sz w:val="24"/>
          <w:szCs w:val="24"/>
        </w:rPr>
      </w:pPr>
      <w:r>
        <w:rPr>
          <w:rFonts w:ascii="仿宋" w:hAnsi="仿宋" w:eastAsia="仿宋"/>
          <w:b/>
          <w:color w:val="auto"/>
          <w:sz w:val="24"/>
          <w:szCs w:val="24"/>
        </w:rPr>
        <w:t>考核指标</w:t>
      </w:r>
      <w:r>
        <w:rPr>
          <w:rFonts w:hint="eastAsia" w:ascii="仿宋" w:hAnsi="仿宋" w:eastAsia="仿宋"/>
          <w:b/>
          <w:color w:val="auto"/>
          <w:sz w:val="24"/>
          <w:szCs w:val="24"/>
        </w:rPr>
        <w:t>:</w:t>
      </w:r>
      <w:r>
        <w:rPr>
          <w:rFonts w:ascii="仿宋" w:hAnsi="仿宋" w:eastAsia="仿宋"/>
          <w:color w:val="auto"/>
          <w:sz w:val="24"/>
          <w:szCs w:val="24"/>
        </w:rPr>
        <w:t>发展不少于2种研究增龄相关器官功能减退的新技术新方法；建立不少于8种用于研究增龄相关器官功能减退的人类干细胞和动物模型体系；绘制灵长类动物（包括人）器官组织功能（不少于4种）随增龄减退的分子图谱；鉴定不少于5个新型的人类细胞衰老调节基因；明确不少于2种可指示人类生物学年龄的新型分子标记物。</w:t>
      </w:r>
    </w:p>
    <w:p>
      <w:pPr>
        <w:adjustRightInd w:val="0"/>
        <w:snapToGrid w:val="0"/>
        <w:spacing w:before="156" w:beforeLines="50" w:after="156" w:afterLines="50" w:line="360" w:lineRule="auto"/>
        <w:ind w:firstLine="482" w:firstLineChars="200"/>
        <w:rPr>
          <w:rFonts w:ascii="仿宋" w:hAnsi="仿宋" w:eastAsia="仿宋"/>
          <w:color w:val="auto"/>
          <w:sz w:val="24"/>
          <w:szCs w:val="24"/>
        </w:rPr>
      </w:pPr>
      <w:r>
        <w:rPr>
          <w:rFonts w:ascii="仿宋" w:hAnsi="仿宋" w:eastAsia="仿宋"/>
          <w:b/>
          <w:color w:val="auto"/>
          <w:sz w:val="24"/>
          <w:szCs w:val="24"/>
        </w:rPr>
        <w:t>支持年限：</w:t>
      </w:r>
      <w:r>
        <w:rPr>
          <w:rFonts w:ascii="仿宋" w:hAnsi="仿宋" w:eastAsia="仿宋"/>
          <w:color w:val="auto"/>
          <w:sz w:val="24"/>
          <w:szCs w:val="24"/>
        </w:rPr>
        <w:t>2018-2022年。</w:t>
      </w:r>
    </w:p>
    <w:p>
      <w:pPr>
        <w:adjustRightInd w:val="0"/>
        <w:snapToGrid w:val="0"/>
        <w:spacing w:before="156" w:beforeLines="50" w:after="156" w:afterLines="50" w:line="360" w:lineRule="auto"/>
        <w:ind w:firstLine="482" w:firstLineChars="200"/>
        <w:rPr>
          <w:rFonts w:ascii="仿宋" w:hAnsi="仿宋" w:eastAsia="仿宋"/>
          <w:color w:val="auto"/>
          <w:sz w:val="24"/>
          <w:szCs w:val="24"/>
        </w:rPr>
      </w:pPr>
      <w:r>
        <w:rPr>
          <w:rFonts w:ascii="仿宋" w:hAnsi="仿宋" w:eastAsia="仿宋"/>
          <w:b/>
          <w:color w:val="auto"/>
          <w:sz w:val="24"/>
          <w:szCs w:val="24"/>
        </w:rPr>
        <w:t>拟支持项目数：</w:t>
      </w:r>
      <w:r>
        <w:rPr>
          <w:rFonts w:ascii="仿宋" w:hAnsi="仿宋" w:eastAsia="仿宋"/>
          <w:color w:val="auto"/>
          <w:sz w:val="24"/>
          <w:szCs w:val="24"/>
        </w:rPr>
        <w:t>1-2项</w:t>
      </w:r>
    </w:p>
    <w:p>
      <w:pPr>
        <w:adjustRightInd w:val="0"/>
        <w:snapToGrid w:val="0"/>
        <w:spacing w:before="156" w:beforeLines="50" w:after="156" w:afterLines="50" w:line="360" w:lineRule="auto"/>
        <w:ind w:firstLine="480" w:firstLineChars="200"/>
        <w:rPr>
          <w:rFonts w:ascii="仿宋" w:hAnsi="仿宋" w:eastAsia="仿宋"/>
          <w:color w:val="auto"/>
          <w:sz w:val="24"/>
          <w:szCs w:val="24"/>
        </w:rPr>
      </w:pPr>
    </w:p>
    <w:p>
      <w:pPr>
        <w:pStyle w:val="4"/>
        <w:adjustRightInd w:val="0"/>
        <w:snapToGrid w:val="0"/>
        <w:spacing w:before="156" w:beforeLines="50" w:after="156" w:afterLines="50" w:line="360" w:lineRule="auto"/>
        <w:rPr>
          <w:rFonts w:ascii="仿宋" w:hAnsi="仿宋" w:eastAsia="仿宋"/>
          <w:sz w:val="24"/>
          <w:szCs w:val="24"/>
        </w:rPr>
      </w:pPr>
      <w:r>
        <w:rPr>
          <w:rFonts w:ascii="仿宋" w:hAnsi="仿宋" w:eastAsia="仿宋"/>
          <w:sz w:val="24"/>
          <w:szCs w:val="24"/>
        </w:rPr>
        <w:t>1.1.</w:t>
      </w:r>
      <w:r>
        <w:rPr>
          <w:rFonts w:hint="eastAsia" w:ascii="仿宋" w:hAnsi="仿宋" w:eastAsia="仿宋"/>
          <w:sz w:val="24"/>
          <w:szCs w:val="24"/>
        </w:rPr>
        <w:t>2</w:t>
      </w:r>
      <w:r>
        <w:rPr>
          <w:rFonts w:ascii="仿宋" w:hAnsi="仿宋" w:eastAsia="仿宋"/>
          <w:sz w:val="24"/>
          <w:szCs w:val="24"/>
        </w:rPr>
        <w:t>我国人群健康生物学年龄评价体系研究</w:t>
      </w:r>
    </w:p>
    <w:p>
      <w:pPr>
        <w:adjustRightInd w:val="0"/>
        <w:snapToGrid w:val="0"/>
        <w:spacing w:before="156" w:beforeLines="50" w:after="156" w:afterLines="50" w:line="360" w:lineRule="auto"/>
        <w:ind w:firstLine="482" w:firstLineChars="200"/>
        <w:rPr>
          <w:rFonts w:ascii="仿宋" w:hAnsi="仿宋" w:eastAsia="仿宋"/>
          <w:bCs/>
          <w:color w:val="auto"/>
          <w:sz w:val="24"/>
          <w:szCs w:val="24"/>
        </w:rPr>
      </w:pPr>
      <w:r>
        <w:rPr>
          <w:rFonts w:ascii="仿宋" w:hAnsi="仿宋" w:eastAsia="仿宋"/>
          <w:b/>
          <w:bCs/>
          <w:color w:val="auto"/>
          <w:sz w:val="24"/>
          <w:szCs w:val="24"/>
        </w:rPr>
        <w:t>研究内容:</w:t>
      </w:r>
      <w:r>
        <w:rPr>
          <w:rFonts w:ascii="仿宋" w:hAnsi="仿宋" w:eastAsia="仿宋"/>
          <w:bCs/>
          <w:color w:val="auto"/>
          <w:sz w:val="24"/>
          <w:szCs w:val="24"/>
        </w:rPr>
        <w:t>研究我国不同年龄段老年人群生物化学、血液学、免疫学等临床实验室指标的表现特点和变化规律，发现筛选并验证老龄化相关实验室指标，鉴定生物学年龄的分子标志物；研究老年人生理年龄和实际生理功能之间的联系和相关测试指标；建立中国老年人生物学年龄的综合量化评估方法及体系，据此划分老龄化年龄节点。研究生物学年龄同器官功能减退的关系，开发相关疾病及功能减退的风险评估体系，建立我国老年人生物学年龄指标数据库。</w:t>
      </w:r>
    </w:p>
    <w:p>
      <w:pPr>
        <w:adjustRightInd w:val="0"/>
        <w:snapToGrid w:val="0"/>
        <w:spacing w:before="156" w:beforeLines="50" w:after="156" w:afterLines="50" w:line="360" w:lineRule="auto"/>
        <w:ind w:firstLine="482" w:firstLineChars="200"/>
        <w:rPr>
          <w:rFonts w:ascii="仿宋" w:hAnsi="仿宋" w:eastAsia="仿宋"/>
          <w:bCs/>
          <w:color w:val="auto"/>
          <w:sz w:val="24"/>
          <w:szCs w:val="24"/>
        </w:rPr>
      </w:pPr>
      <w:r>
        <w:rPr>
          <w:rFonts w:ascii="仿宋" w:hAnsi="仿宋" w:eastAsia="仿宋"/>
          <w:b/>
          <w:bCs/>
          <w:color w:val="auto"/>
          <w:sz w:val="24"/>
          <w:szCs w:val="24"/>
        </w:rPr>
        <w:t>考核指标：</w:t>
      </w:r>
      <w:r>
        <w:rPr>
          <w:rFonts w:ascii="仿宋" w:hAnsi="仿宋" w:eastAsia="仿宋"/>
          <w:bCs/>
          <w:color w:val="auto"/>
          <w:sz w:val="24"/>
          <w:szCs w:val="24"/>
        </w:rPr>
        <w:t>筛选</w:t>
      </w:r>
      <w:r>
        <w:rPr>
          <w:rFonts w:hint="eastAsia" w:ascii="仿宋" w:hAnsi="仿宋" w:eastAsia="仿宋"/>
          <w:bCs/>
          <w:color w:val="auto"/>
          <w:sz w:val="24"/>
          <w:szCs w:val="24"/>
        </w:rPr>
        <w:t>并验证</w:t>
      </w:r>
      <w:r>
        <w:rPr>
          <w:rFonts w:ascii="仿宋" w:hAnsi="仿宋" w:eastAsia="仿宋"/>
          <w:bCs/>
          <w:color w:val="auto"/>
          <w:sz w:val="24"/>
          <w:szCs w:val="24"/>
        </w:rPr>
        <w:t>不少于20项反映人体各主要系统或功能老龄化相关的</w:t>
      </w:r>
      <w:r>
        <w:rPr>
          <w:rFonts w:hint="eastAsia" w:ascii="仿宋" w:hAnsi="仿宋" w:eastAsia="仿宋"/>
          <w:sz w:val="24"/>
          <w:szCs w:val="24"/>
        </w:rPr>
        <w:t>生物化学、血液学、免疫学等</w:t>
      </w:r>
      <w:r>
        <w:rPr>
          <w:rFonts w:ascii="仿宋" w:hAnsi="仿宋" w:eastAsia="仿宋"/>
          <w:bCs/>
          <w:color w:val="auto"/>
          <w:sz w:val="24"/>
          <w:szCs w:val="24"/>
        </w:rPr>
        <w:t>实验室指标，明确人类生物学年龄的分子标记物；开发不少于2种基于实验室指标的老龄化预测模型；制定生物学年龄老龄化标准，产出不少于2个系统生物学年龄评价体系及老年健康风险评估体系，明确生物学年龄与功能减退和疾病的关系。</w:t>
      </w:r>
    </w:p>
    <w:p>
      <w:pPr>
        <w:pStyle w:val="17"/>
        <w:snapToGrid w:val="0"/>
        <w:spacing w:before="156" w:beforeLines="50" w:after="156" w:afterLines="50" w:line="360" w:lineRule="auto"/>
        <w:ind w:firstLine="482" w:firstLineChars="200"/>
        <w:jc w:val="both"/>
        <w:rPr>
          <w:rFonts w:ascii="仿宋" w:hAnsi="仿宋" w:eastAsia="仿宋"/>
          <w:bCs/>
          <w:color w:val="auto"/>
        </w:rPr>
      </w:pPr>
      <w:r>
        <w:rPr>
          <w:rFonts w:ascii="仿宋" w:hAnsi="仿宋" w:eastAsia="仿宋"/>
          <w:b/>
          <w:bCs/>
          <w:color w:val="auto"/>
        </w:rPr>
        <w:t>支持年限：</w:t>
      </w:r>
      <w:r>
        <w:rPr>
          <w:rFonts w:ascii="仿宋" w:hAnsi="仿宋" w:eastAsia="仿宋"/>
          <w:bCs/>
          <w:color w:val="auto"/>
        </w:rPr>
        <w:t>2018-2022年。</w:t>
      </w:r>
    </w:p>
    <w:p>
      <w:pPr>
        <w:pStyle w:val="17"/>
        <w:snapToGrid w:val="0"/>
        <w:spacing w:before="156" w:beforeLines="50" w:after="156" w:afterLines="50" w:line="360" w:lineRule="auto"/>
        <w:ind w:firstLine="482" w:firstLineChars="200"/>
        <w:jc w:val="both"/>
        <w:rPr>
          <w:rFonts w:ascii="仿宋" w:hAnsi="仿宋" w:eastAsia="仿宋"/>
          <w:bCs/>
          <w:color w:val="auto"/>
        </w:rPr>
      </w:pPr>
      <w:r>
        <w:rPr>
          <w:rFonts w:ascii="仿宋" w:hAnsi="仿宋" w:eastAsia="仿宋"/>
          <w:b/>
          <w:bCs/>
          <w:color w:val="auto"/>
        </w:rPr>
        <w:t>拟支持项目数：</w:t>
      </w:r>
      <w:r>
        <w:rPr>
          <w:rFonts w:ascii="仿宋" w:hAnsi="仿宋" w:eastAsia="仿宋"/>
          <w:bCs/>
          <w:color w:val="auto"/>
        </w:rPr>
        <w:t>1-2项</w:t>
      </w:r>
    </w:p>
    <w:p>
      <w:pPr>
        <w:pStyle w:val="17"/>
        <w:snapToGrid w:val="0"/>
        <w:spacing w:before="156" w:beforeLines="50" w:after="156" w:afterLines="50" w:line="360" w:lineRule="auto"/>
        <w:ind w:firstLine="482" w:firstLineChars="200"/>
        <w:jc w:val="both"/>
        <w:rPr>
          <w:rFonts w:ascii="仿宋" w:hAnsi="仿宋" w:eastAsia="仿宋"/>
          <w:bCs/>
          <w:color w:val="auto"/>
        </w:rPr>
      </w:pPr>
      <w:r>
        <w:rPr>
          <w:rFonts w:hint="eastAsia" w:ascii="仿宋" w:hAnsi="仿宋" w:eastAsia="仿宋"/>
          <w:b/>
          <w:bCs/>
          <w:color w:val="auto"/>
        </w:rPr>
        <w:t>有关说明：</w:t>
      </w:r>
      <w:r>
        <w:rPr>
          <w:rFonts w:hint="eastAsia" w:ascii="仿宋" w:hAnsi="仿宋" w:eastAsia="仿宋"/>
          <w:bCs/>
          <w:color w:val="auto"/>
          <w:kern w:val="2"/>
        </w:rPr>
        <w:t>由建有国家临床医学研究中心的医疗机构牵头申报，同时具有一定的前期研究基础</w:t>
      </w:r>
    </w:p>
    <w:p>
      <w:pPr>
        <w:adjustRightInd w:val="0"/>
        <w:snapToGrid w:val="0"/>
        <w:spacing w:before="156" w:beforeLines="50" w:after="156" w:afterLines="50" w:line="360" w:lineRule="auto"/>
        <w:rPr>
          <w:rFonts w:ascii="仿宋" w:hAnsi="仿宋" w:eastAsia="仿宋"/>
          <w:color w:val="auto"/>
          <w:sz w:val="24"/>
          <w:szCs w:val="24"/>
        </w:rPr>
      </w:pPr>
    </w:p>
    <w:p>
      <w:pPr>
        <w:pStyle w:val="3"/>
        <w:adjustRightInd w:val="0"/>
        <w:snapToGrid w:val="0"/>
        <w:spacing w:before="156" w:beforeLines="50" w:after="156" w:afterLines="50" w:line="360" w:lineRule="auto"/>
        <w:rPr>
          <w:rFonts w:ascii="仿宋" w:hAnsi="仿宋" w:eastAsia="仿宋"/>
          <w:sz w:val="24"/>
          <w:szCs w:val="24"/>
        </w:rPr>
      </w:pPr>
      <w:r>
        <w:rPr>
          <w:rFonts w:ascii="仿宋" w:hAnsi="仿宋" w:eastAsia="仿宋"/>
          <w:sz w:val="24"/>
          <w:szCs w:val="24"/>
        </w:rPr>
        <w:t>1.2我国人群增龄过程中健康状态变化规律的基础研究</w:t>
      </w:r>
    </w:p>
    <w:p>
      <w:pPr>
        <w:pStyle w:val="4"/>
        <w:adjustRightInd w:val="0"/>
        <w:snapToGrid w:val="0"/>
        <w:spacing w:before="156" w:beforeLines="50" w:after="156" w:afterLines="50" w:line="360" w:lineRule="auto"/>
        <w:rPr>
          <w:rFonts w:ascii="仿宋" w:hAnsi="仿宋" w:eastAsia="仿宋"/>
          <w:sz w:val="24"/>
          <w:szCs w:val="24"/>
        </w:rPr>
      </w:pPr>
      <w:r>
        <w:rPr>
          <w:rFonts w:ascii="仿宋" w:hAnsi="仿宋" w:eastAsia="仿宋"/>
          <w:sz w:val="24"/>
          <w:szCs w:val="24"/>
        </w:rPr>
        <w:t>1.2.1 我国人群增龄过程中健康状态变化规律的研究</w:t>
      </w:r>
    </w:p>
    <w:p>
      <w:pPr>
        <w:pStyle w:val="17"/>
        <w:snapToGrid w:val="0"/>
        <w:spacing w:before="156" w:beforeLines="50" w:after="156" w:afterLines="50" w:line="360" w:lineRule="auto"/>
        <w:ind w:firstLine="482" w:firstLineChars="200"/>
        <w:jc w:val="both"/>
        <w:rPr>
          <w:rFonts w:ascii="仿宋" w:hAnsi="仿宋" w:eastAsia="仿宋"/>
          <w:color w:val="auto"/>
        </w:rPr>
      </w:pPr>
      <w:r>
        <w:rPr>
          <w:rFonts w:ascii="仿宋" w:hAnsi="仿宋" w:eastAsia="仿宋"/>
          <w:b/>
          <w:color w:val="auto"/>
        </w:rPr>
        <w:t>研究内容：</w:t>
      </w:r>
      <w:r>
        <w:rPr>
          <w:rFonts w:ascii="仿宋" w:hAnsi="仿宋" w:eastAsia="仿宋"/>
          <w:color w:val="auto"/>
        </w:rPr>
        <w:t>建立覆盖全国六大地理区域</w:t>
      </w:r>
      <w:r>
        <w:rPr>
          <w:rFonts w:hint="eastAsia" w:ascii="仿宋" w:hAnsi="仿宋" w:eastAsia="仿宋"/>
          <w:color w:val="auto"/>
        </w:rPr>
        <w:t>（东北、华北、中南、华南、西南、西北）</w:t>
      </w:r>
      <w:r>
        <w:rPr>
          <w:rFonts w:ascii="仿宋" w:hAnsi="仿宋" w:eastAsia="仿宋"/>
          <w:color w:val="auto"/>
        </w:rPr>
        <w:t>增龄研究队列，长期跟踪随访。从个体身心状态、社会参与以及家庭、社会、环境等因素多层面采集增龄过程中机体重要器官与系统功能和疾病风险因素变化与疾病发生发展的动态数据。建立复杂多维数据分析处理方法，阐述我国人群增龄过程中的健康相关状态变化关联、特点与规律。</w:t>
      </w:r>
    </w:p>
    <w:p>
      <w:pPr>
        <w:pStyle w:val="17"/>
        <w:snapToGrid w:val="0"/>
        <w:spacing w:before="156" w:beforeLines="50" w:after="156" w:afterLines="50" w:line="360" w:lineRule="auto"/>
        <w:ind w:firstLine="482" w:firstLineChars="200"/>
        <w:jc w:val="both"/>
        <w:rPr>
          <w:rFonts w:ascii="仿宋" w:hAnsi="仿宋" w:eastAsia="仿宋"/>
          <w:color w:val="auto"/>
        </w:rPr>
      </w:pPr>
      <w:r>
        <w:rPr>
          <w:rFonts w:ascii="仿宋" w:hAnsi="仿宋" w:eastAsia="仿宋"/>
          <w:b/>
          <w:color w:val="auto"/>
        </w:rPr>
        <w:t>考核指标：</w:t>
      </w:r>
      <w:r>
        <w:rPr>
          <w:rFonts w:ascii="仿宋" w:hAnsi="仿宋" w:eastAsia="仿宋"/>
          <w:color w:val="auto"/>
        </w:rPr>
        <w:t>完成不少于25000</w:t>
      </w:r>
      <w:r>
        <w:rPr>
          <w:rFonts w:hint="eastAsia" w:ascii="仿宋" w:hAnsi="仿宋" w:eastAsia="仿宋"/>
          <w:color w:val="auto"/>
        </w:rPr>
        <w:t>例</w:t>
      </w:r>
      <w:r>
        <w:rPr>
          <w:rFonts w:ascii="仿宋" w:hAnsi="仿宋" w:eastAsia="仿宋"/>
          <w:color w:val="auto"/>
        </w:rPr>
        <w:t>的增龄研究队列建设，保证长期跟踪随访。建立资源共享的中国人群増龄状态生物样本库和大数据分析处理平台，分析增龄过程中机体健康相关状态变化特点与规律，以及各种变化与健康相关因素间的关联。建立老年健康状态综合评估指标与标准，完成并提交至少在我国六大地域中的3个地区20-30家不同级别医院和社区老年人群健康状态综合评估判定结果和单位使用意见反馈；拟定健康老龄化进程评估方案；发布中国老年人群健康状况调查报告。申请专利 3-5 项。</w:t>
      </w:r>
    </w:p>
    <w:p>
      <w:pPr>
        <w:pStyle w:val="17"/>
        <w:snapToGrid w:val="0"/>
        <w:spacing w:before="156" w:beforeLines="50" w:after="156" w:afterLines="50" w:line="360" w:lineRule="auto"/>
        <w:ind w:firstLine="482" w:firstLineChars="200"/>
        <w:jc w:val="both"/>
        <w:rPr>
          <w:rFonts w:ascii="仿宋" w:hAnsi="仿宋" w:eastAsia="仿宋"/>
          <w:bCs/>
          <w:color w:val="auto"/>
        </w:rPr>
      </w:pPr>
      <w:r>
        <w:rPr>
          <w:rFonts w:ascii="仿宋" w:hAnsi="仿宋" w:eastAsia="仿宋"/>
          <w:b/>
          <w:bCs/>
          <w:color w:val="auto"/>
        </w:rPr>
        <w:t>支持年限：</w:t>
      </w:r>
      <w:r>
        <w:rPr>
          <w:rFonts w:ascii="仿宋" w:hAnsi="仿宋" w:eastAsia="仿宋"/>
          <w:bCs/>
          <w:color w:val="auto"/>
        </w:rPr>
        <w:t>2018-2022年。</w:t>
      </w:r>
    </w:p>
    <w:p>
      <w:pPr>
        <w:pStyle w:val="17"/>
        <w:snapToGrid w:val="0"/>
        <w:spacing w:before="156" w:beforeLines="50" w:after="156" w:afterLines="50" w:line="360" w:lineRule="auto"/>
        <w:ind w:firstLine="482" w:firstLineChars="200"/>
        <w:jc w:val="both"/>
        <w:rPr>
          <w:rFonts w:ascii="仿宋" w:hAnsi="仿宋" w:eastAsia="仿宋"/>
          <w:bCs/>
          <w:color w:val="auto"/>
        </w:rPr>
      </w:pPr>
      <w:r>
        <w:rPr>
          <w:rFonts w:ascii="仿宋" w:hAnsi="仿宋" w:eastAsia="仿宋"/>
          <w:b/>
          <w:bCs/>
          <w:color w:val="auto"/>
        </w:rPr>
        <w:t>拟支持项目数：</w:t>
      </w:r>
      <w:r>
        <w:rPr>
          <w:rFonts w:ascii="仿宋" w:hAnsi="仿宋" w:eastAsia="仿宋"/>
          <w:bCs/>
          <w:color w:val="auto"/>
        </w:rPr>
        <w:t>1-2项</w:t>
      </w:r>
      <w:r>
        <w:rPr>
          <w:rFonts w:hint="eastAsia" w:ascii="仿宋" w:hAnsi="仿宋" w:eastAsia="仿宋"/>
          <w:bCs/>
          <w:color w:val="auto"/>
        </w:rPr>
        <w:t>。</w:t>
      </w:r>
    </w:p>
    <w:p>
      <w:pPr>
        <w:adjustRightInd w:val="0"/>
        <w:snapToGrid w:val="0"/>
        <w:spacing w:before="156" w:beforeLines="50" w:after="156" w:afterLines="50" w:line="360" w:lineRule="auto"/>
        <w:ind w:firstLine="482" w:firstLineChars="200"/>
        <w:rPr>
          <w:rFonts w:ascii="仿宋" w:hAnsi="仿宋" w:eastAsia="仿宋"/>
          <w:color w:val="auto"/>
          <w:sz w:val="24"/>
          <w:szCs w:val="24"/>
        </w:rPr>
      </w:pPr>
      <w:r>
        <w:rPr>
          <w:rFonts w:ascii="仿宋" w:hAnsi="仿宋" w:eastAsia="仿宋"/>
          <w:b/>
          <w:bCs/>
          <w:color w:val="auto"/>
          <w:kern w:val="0"/>
          <w:sz w:val="24"/>
          <w:szCs w:val="24"/>
        </w:rPr>
        <w:t>有关说明：</w:t>
      </w:r>
      <w:r>
        <w:rPr>
          <w:rFonts w:hint="eastAsia" w:ascii="仿宋" w:hAnsi="仿宋" w:eastAsia="仿宋"/>
          <w:bCs/>
          <w:color w:val="auto"/>
          <w:kern w:val="0"/>
          <w:sz w:val="24"/>
          <w:szCs w:val="24"/>
        </w:rPr>
        <w:t>由建有国家临床医学研究中心的医疗机构牵头申报</w:t>
      </w:r>
      <w:r>
        <w:rPr>
          <w:rFonts w:ascii="仿宋" w:hAnsi="仿宋" w:eastAsia="仿宋"/>
          <w:color w:val="auto"/>
          <w:sz w:val="24"/>
          <w:szCs w:val="24"/>
        </w:rPr>
        <w:t>。优先支持</w:t>
      </w:r>
      <w:r>
        <w:rPr>
          <w:rFonts w:ascii="仿宋" w:hAnsi="仿宋" w:eastAsia="仿宋"/>
          <w:bCs/>
          <w:color w:val="auto"/>
          <w:kern w:val="0"/>
          <w:sz w:val="24"/>
          <w:szCs w:val="24"/>
        </w:rPr>
        <w:t>已有良好前期研究基础的研究团队，要求具有</w:t>
      </w:r>
      <w:r>
        <w:rPr>
          <w:rFonts w:ascii="仿宋" w:hAnsi="仿宋" w:eastAsia="仿宋"/>
          <w:color w:val="auto"/>
          <w:sz w:val="24"/>
          <w:szCs w:val="24"/>
        </w:rPr>
        <w:t>相对稳定的专职数据管理工作人员队伍与样本管理场地。要求采用统一提供的技术、标准和规范，队列所建立的样本和数据必须按照专项的要求进行共享，各类数据及样本需及时提交本专项建立的大数据平台统一管理。</w:t>
      </w:r>
    </w:p>
    <w:p>
      <w:pPr>
        <w:adjustRightInd w:val="0"/>
        <w:snapToGrid w:val="0"/>
        <w:spacing w:before="156" w:beforeLines="50" w:after="156" w:afterLines="50" w:line="360" w:lineRule="auto"/>
        <w:ind w:firstLine="480" w:firstLineChars="200"/>
        <w:rPr>
          <w:rFonts w:ascii="仿宋" w:hAnsi="仿宋" w:eastAsia="仿宋"/>
          <w:color w:val="auto"/>
          <w:sz w:val="24"/>
          <w:szCs w:val="24"/>
        </w:rPr>
      </w:pPr>
    </w:p>
    <w:p>
      <w:pPr>
        <w:pStyle w:val="4"/>
        <w:adjustRightInd w:val="0"/>
        <w:snapToGrid w:val="0"/>
        <w:spacing w:before="0" w:after="0" w:line="360" w:lineRule="auto"/>
        <w:rPr>
          <w:rFonts w:ascii="仿宋" w:hAnsi="仿宋" w:eastAsia="仿宋"/>
          <w:sz w:val="24"/>
          <w:szCs w:val="24"/>
        </w:rPr>
      </w:pPr>
      <w:r>
        <w:rPr>
          <w:rFonts w:ascii="仿宋" w:hAnsi="仿宋" w:eastAsia="仿宋"/>
          <w:sz w:val="24"/>
          <w:szCs w:val="24"/>
        </w:rPr>
        <w:t>1.2.2</w:t>
      </w:r>
      <w:r>
        <w:rPr>
          <w:rFonts w:hint="eastAsia" w:ascii="仿宋" w:hAnsi="仿宋" w:eastAsia="仿宋"/>
          <w:sz w:val="24"/>
          <w:szCs w:val="24"/>
        </w:rPr>
        <w:t xml:space="preserve"> </w:t>
      </w:r>
      <w:r>
        <w:rPr>
          <w:rFonts w:ascii="仿宋" w:hAnsi="仿宋" w:eastAsia="仿宋"/>
          <w:sz w:val="24"/>
          <w:szCs w:val="24"/>
        </w:rPr>
        <w:t>我国长寿人群队列研究</w:t>
      </w:r>
    </w:p>
    <w:p>
      <w:pPr>
        <w:adjustRightInd w:val="0"/>
        <w:snapToGrid w:val="0"/>
        <w:spacing w:after="0" w:line="360" w:lineRule="auto"/>
        <w:ind w:firstLine="482" w:firstLineChars="200"/>
        <w:rPr>
          <w:rFonts w:ascii="仿宋" w:hAnsi="仿宋" w:eastAsia="仿宋"/>
          <w:color w:val="auto"/>
          <w:sz w:val="24"/>
          <w:szCs w:val="24"/>
        </w:rPr>
      </w:pPr>
      <w:r>
        <w:rPr>
          <w:rFonts w:ascii="仿宋" w:hAnsi="仿宋" w:eastAsia="仿宋"/>
          <w:b/>
          <w:color w:val="auto"/>
          <w:sz w:val="24"/>
          <w:szCs w:val="24"/>
        </w:rPr>
        <w:t>研究内容：</w:t>
      </w:r>
      <w:r>
        <w:rPr>
          <w:rFonts w:ascii="仿宋" w:hAnsi="仿宋" w:eastAsia="仿宋"/>
          <w:color w:val="auto"/>
          <w:sz w:val="24"/>
          <w:szCs w:val="24"/>
        </w:rPr>
        <w:t>建立和完善长期跟踪随访的长寿队列，开展90岁以上长寿老人健康状态与影响因素调查分析。针对影响健康长寿的遗传与环境问题，开发遗传与环境因素及其交互作用对老龄健康影响结局的测量、分级和评估的综合技术包。监测干预措施的影响，研发健康结果测量的技术。在典型地区开展适合于老年人群健康需求措施应用的策略评价。</w:t>
      </w:r>
    </w:p>
    <w:p>
      <w:pPr>
        <w:adjustRightInd w:val="0"/>
        <w:snapToGrid w:val="0"/>
        <w:spacing w:after="0" w:line="360" w:lineRule="auto"/>
        <w:ind w:firstLine="482" w:firstLineChars="200"/>
        <w:rPr>
          <w:rFonts w:ascii="仿宋" w:hAnsi="仿宋" w:eastAsia="仿宋"/>
          <w:color w:val="auto"/>
          <w:sz w:val="24"/>
          <w:szCs w:val="24"/>
        </w:rPr>
      </w:pPr>
      <w:r>
        <w:rPr>
          <w:rFonts w:ascii="仿宋" w:hAnsi="仿宋" w:eastAsia="仿宋"/>
          <w:b/>
          <w:color w:val="auto"/>
          <w:sz w:val="24"/>
          <w:szCs w:val="24"/>
        </w:rPr>
        <w:t>考核指标：</w:t>
      </w:r>
      <w:r>
        <w:rPr>
          <w:rFonts w:ascii="仿宋" w:hAnsi="仿宋" w:eastAsia="仿宋"/>
          <w:color w:val="auto"/>
          <w:sz w:val="24"/>
          <w:szCs w:val="24"/>
        </w:rPr>
        <w:t>产出不少于4个健康长寿研究队列（1万人/队列）的共享数据库与生物标本库；阐明中国人群老龄健康的社会行为、生活习惯以及遗传交互作用对老龄健康的影响</w:t>
      </w:r>
      <w:r>
        <w:rPr>
          <w:rFonts w:hint="eastAsia" w:ascii="仿宋" w:hAnsi="仿宋" w:eastAsia="仿宋"/>
          <w:color w:val="auto"/>
          <w:sz w:val="24"/>
          <w:szCs w:val="24"/>
        </w:rPr>
        <w:t>；提取长寿</w:t>
      </w:r>
      <w:r>
        <w:rPr>
          <w:rFonts w:ascii="仿宋" w:hAnsi="仿宋" w:eastAsia="仿宋"/>
          <w:color w:val="auto"/>
          <w:sz w:val="24"/>
          <w:szCs w:val="24"/>
        </w:rPr>
        <w:t>相关正性因素</w:t>
      </w:r>
      <w:r>
        <w:rPr>
          <w:rFonts w:hint="eastAsia" w:ascii="仿宋" w:hAnsi="仿宋" w:eastAsia="仿宋"/>
          <w:color w:val="auto"/>
          <w:sz w:val="24"/>
          <w:szCs w:val="24"/>
        </w:rPr>
        <w:t>并据此建立相关健康促进</w:t>
      </w:r>
      <w:r>
        <w:rPr>
          <w:rFonts w:ascii="仿宋" w:hAnsi="仿宋" w:eastAsia="仿宋"/>
          <w:color w:val="auto"/>
          <w:sz w:val="24"/>
          <w:szCs w:val="24"/>
        </w:rPr>
        <w:t>措施</w:t>
      </w:r>
      <w:r>
        <w:rPr>
          <w:rFonts w:hint="eastAsia" w:ascii="仿宋" w:hAnsi="仿宋" w:eastAsia="仿宋"/>
          <w:color w:val="auto"/>
          <w:sz w:val="24"/>
          <w:szCs w:val="24"/>
        </w:rPr>
        <w:t>和健康</w:t>
      </w:r>
      <w:r>
        <w:rPr>
          <w:rFonts w:ascii="仿宋" w:hAnsi="仿宋" w:eastAsia="仿宋"/>
          <w:color w:val="auto"/>
          <w:sz w:val="24"/>
          <w:szCs w:val="24"/>
        </w:rPr>
        <w:t>风险干预策略；开发不少于4个环境因素以及遗传-环境交互作用对老龄健康影响结局的测量、分级和评估的综合技术包；完成全国4个地区的综合应用评价研究。</w:t>
      </w:r>
    </w:p>
    <w:p>
      <w:pPr>
        <w:pStyle w:val="17"/>
        <w:snapToGrid w:val="0"/>
        <w:spacing w:line="360" w:lineRule="auto"/>
        <w:ind w:firstLine="482" w:firstLineChars="200"/>
        <w:jc w:val="both"/>
        <w:rPr>
          <w:rFonts w:ascii="仿宋" w:hAnsi="仿宋" w:eastAsia="仿宋"/>
          <w:color w:val="auto"/>
          <w:kern w:val="2"/>
        </w:rPr>
      </w:pPr>
      <w:r>
        <w:rPr>
          <w:rFonts w:ascii="仿宋" w:hAnsi="仿宋" w:eastAsia="仿宋"/>
          <w:b/>
          <w:color w:val="auto"/>
          <w:kern w:val="2"/>
        </w:rPr>
        <w:t>支持年限：</w:t>
      </w:r>
      <w:r>
        <w:rPr>
          <w:rFonts w:ascii="仿宋" w:hAnsi="仿宋" w:eastAsia="仿宋"/>
          <w:color w:val="auto"/>
          <w:kern w:val="2"/>
        </w:rPr>
        <w:t>201</w:t>
      </w:r>
      <w:r>
        <w:rPr>
          <w:rFonts w:hint="eastAsia" w:ascii="仿宋" w:hAnsi="仿宋" w:eastAsia="仿宋"/>
          <w:color w:val="auto"/>
          <w:kern w:val="2"/>
        </w:rPr>
        <w:t>8</w:t>
      </w:r>
      <w:r>
        <w:rPr>
          <w:rFonts w:ascii="仿宋" w:hAnsi="仿宋" w:eastAsia="仿宋"/>
          <w:color w:val="auto"/>
          <w:kern w:val="2"/>
        </w:rPr>
        <w:t>-2022年。</w:t>
      </w:r>
    </w:p>
    <w:p>
      <w:pPr>
        <w:pStyle w:val="17"/>
        <w:snapToGrid w:val="0"/>
        <w:spacing w:line="360" w:lineRule="auto"/>
        <w:ind w:firstLine="482" w:firstLineChars="200"/>
        <w:jc w:val="both"/>
        <w:rPr>
          <w:rFonts w:ascii="仿宋" w:hAnsi="仿宋" w:eastAsia="仿宋"/>
          <w:color w:val="auto"/>
          <w:kern w:val="2"/>
        </w:rPr>
      </w:pPr>
      <w:r>
        <w:rPr>
          <w:rFonts w:ascii="仿宋" w:hAnsi="仿宋" w:eastAsia="仿宋"/>
          <w:b/>
          <w:color w:val="auto"/>
          <w:kern w:val="2"/>
        </w:rPr>
        <w:t>拟支持项目数：</w:t>
      </w:r>
      <w:r>
        <w:rPr>
          <w:rFonts w:ascii="仿宋" w:hAnsi="仿宋" w:eastAsia="仿宋"/>
          <w:color w:val="auto"/>
          <w:kern w:val="2"/>
        </w:rPr>
        <w:t>1-2项</w:t>
      </w:r>
      <w:r>
        <w:rPr>
          <w:rFonts w:hint="eastAsia" w:ascii="仿宋" w:hAnsi="仿宋" w:eastAsia="仿宋"/>
          <w:color w:val="auto"/>
          <w:kern w:val="2"/>
        </w:rPr>
        <w:t>。</w:t>
      </w:r>
    </w:p>
    <w:p>
      <w:pPr>
        <w:pStyle w:val="17"/>
        <w:snapToGrid w:val="0"/>
        <w:spacing w:line="360" w:lineRule="auto"/>
        <w:ind w:firstLine="482" w:firstLineChars="200"/>
        <w:jc w:val="both"/>
        <w:rPr>
          <w:rFonts w:ascii="仿宋" w:hAnsi="仿宋" w:eastAsia="仿宋"/>
          <w:color w:val="auto"/>
          <w:kern w:val="2"/>
        </w:rPr>
      </w:pPr>
      <w:r>
        <w:rPr>
          <w:rFonts w:ascii="仿宋" w:hAnsi="仿宋" w:eastAsia="仿宋"/>
          <w:b/>
          <w:color w:val="auto"/>
          <w:kern w:val="2"/>
        </w:rPr>
        <w:t>有关说明：</w:t>
      </w:r>
      <w:r>
        <w:rPr>
          <w:rFonts w:ascii="仿宋" w:hAnsi="仿宋" w:eastAsia="仿宋"/>
          <w:color w:val="auto"/>
          <w:kern w:val="2"/>
        </w:rPr>
        <w:t>优先支持已有良好工作基础的研究</w:t>
      </w:r>
      <w:r>
        <w:rPr>
          <w:rFonts w:hint="eastAsia" w:ascii="仿宋" w:hAnsi="仿宋" w:eastAsia="仿宋"/>
          <w:color w:val="auto"/>
          <w:kern w:val="2"/>
        </w:rPr>
        <w:t>单位</w:t>
      </w:r>
      <w:r>
        <w:rPr>
          <w:rFonts w:ascii="仿宋" w:hAnsi="仿宋" w:eastAsia="仿宋"/>
          <w:color w:val="auto"/>
          <w:kern w:val="2"/>
        </w:rPr>
        <w:t>，要求具有专业的研究队伍，专职工作人员，稳定的数据采集点。</w:t>
      </w:r>
    </w:p>
    <w:p>
      <w:pPr>
        <w:pStyle w:val="17"/>
        <w:snapToGrid w:val="0"/>
        <w:spacing w:before="156" w:beforeLines="50" w:after="156" w:afterLines="50" w:line="360" w:lineRule="auto"/>
        <w:ind w:firstLine="480" w:firstLineChars="200"/>
        <w:jc w:val="both"/>
        <w:rPr>
          <w:rFonts w:ascii="仿宋" w:hAnsi="仿宋" w:eastAsia="仿宋"/>
          <w:bCs/>
          <w:color w:val="auto"/>
        </w:rPr>
      </w:pPr>
    </w:p>
    <w:p>
      <w:pPr>
        <w:pStyle w:val="4"/>
        <w:adjustRightInd w:val="0"/>
        <w:snapToGrid w:val="0"/>
        <w:spacing w:before="156" w:beforeLines="50" w:after="156" w:afterLines="50" w:line="360" w:lineRule="auto"/>
        <w:rPr>
          <w:rFonts w:ascii="仿宋" w:hAnsi="仿宋" w:eastAsia="仿宋"/>
          <w:sz w:val="24"/>
          <w:szCs w:val="24"/>
        </w:rPr>
      </w:pPr>
      <w:r>
        <w:rPr>
          <w:rFonts w:ascii="仿宋" w:hAnsi="仿宋" w:eastAsia="仿宋"/>
          <w:sz w:val="24"/>
          <w:szCs w:val="24"/>
        </w:rPr>
        <w:t>1.2.</w:t>
      </w:r>
      <w:r>
        <w:rPr>
          <w:rFonts w:hint="eastAsia" w:ascii="仿宋" w:hAnsi="仿宋" w:eastAsia="仿宋"/>
          <w:sz w:val="24"/>
          <w:szCs w:val="24"/>
        </w:rPr>
        <w:t>3</w:t>
      </w:r>
      <w:r>
        <w:rPr>
          <w:rFonts w:ascii="仿宋" w:hAnsi="仿宋" w:eastAsia="仿宋"/>
          <w:sz w:val="24"/>
          <w:szCs w:val="24"/>
        </w:rPr>
        <w:t>微生态影响机体健康的机制研究</w:t>
      </w:r>
    </w:p>
    <w:p>
      <w:pPr>
        <w:widowControl/>
        <w:shd w:val="clear" w:color="auto" w:fill="FFFFFF"/>
        <w:adjustRightInd w:val="0"/>
        <w:snapToGrid w:val="0"/>
        <w:spacing w:before="156" w:beforeLines="50" w:after="156" w:afterLines="50" w:line="360" w:lineRule="auto"/>
        <w:ind w:firstLine="480"/>
        <w:rPr>
          <w:rFonts w:ascii="仿宋" w:hAnsi="仿宋" w:eastAsia="仿宋"/>
          <w:color w:val="auto"/>
          <w:kern w:val="0"/>
          <w:sz w:val="24"/>
          <w:szCs w:val="24"/>
        </w:rPr>
      </w:pPr>
      <w:r>
        <w:rPr>
          <w:rFonts w:ascii="仿宋" w:hAnsi="仿宋" w:eastAsia="仿宋"/>
          <w:b/>
          <w:bCs/>
          <w:color w:val="auto"/>
          <w:kern w:val="0"/>
          <w:sz w:val="24"/>
          <w:szCs w:val="24"/>
        </w:rPr>
        <w:t>研究内容：</w:t>
      </w:r>
      <w:r>
        <w:rPr>
          <w:rFonts w:ascii="仿宋" w:hAnsi="仿宋" w:eastAsia="仿宋"/>
          <w:color w:val="auto"/>
          <w:kern w:val="0"/>
          <w:sz w:val="24"/>
          <w:szCs w:val="24"/>
        </w:rPr>
        <w:t>针对人体微生态变化对老年增龄过程中健康的影响，研究人体微生态内细菌、病毒、真菌等结构和功能随增龄的生理/病理演替，及其与宿主协同影响器官功能减退、老年退行性病变、精神及智力状态和寿命的机理；挖掘人体微生态影响增龄健康的诊断和干预靶点；建立一套促进增龄过程机体健康和有助于提高机体健康寿命的微生态技术体系。</w:t>
      </w:r>
    </w:p>
    <w:p>
      <w:pPr>
        <w:widowControl/>
        <w:shd w:val="clear" w:color="auto" w:fill="FFFFFF"/>
        <w:adjustRightInd w:val="0"/>
        <w:snapToGrid w:val="0"/>
        <w:spacing w:before="156" w:beforeLines="50" w:after="156" w:afterLines="50" w:line="360" w:lineRule="auto"/>
        <w:ind w:firstLine="480"/>
        <w:rPr>
          <w:rFonts w:ascii="仿宋" w:hAnsi="仿宋" w:eastAsia="仿宋"/>
          <w:color w:val="auto"/>
          <w:kern w:val="0"/>
          <w:sz w:val="24"/>
          <w:szCs w:val="24"/>
        </w:rPr>
      </w:pPr>
      <w:r>
        <w:rPr>
          <w:rFonts w:ascii="仿宋" w:hAnsi="仿宋" w:eastAsia="仿宋"/>
          <w:b/>
          <w:color w:val="auto"/>
          <w:kern w:val="0"/>
          <w:sz w:val="24"/>
          <w:szCs w:val="24"/>
        </w:rPr>
        <w:t>考核指标</w:t>
      </w:r>
      <w:r>
        <w:rPr>
          <w:rFonts w:ascii="仿宋" w:hAnsi="仿宋" w:eastAsia="仿宋"/>
          <w:b/>
          <w:bCs/>
          <w:color w:val="auto"/>
          <w:kern w:val="0"/>
          <w:sz w:val="24"/>
          <w:szCs w:val="24"/>
        </w:rPr>
        <w:t>：</w:t>
      </w:r>
      <w:r>
        <w:rPr>
          <w:rFonts w:ascii="仿宋" w:hAnsi="仿宋" w:eastAsia="仿宋"/>
          <w:color w:val="auto"/>
          <w:kern w:val="0"/>
          <w:sz w:val="24"/>
          <w:szCs w:val="24"/>
        </w:rPr>
        <w:t>揭示老年增龄过程中人体微生态细菌、病毒、真菌的结构功能变化规律；阐明人体微生态重要产物对寿命的影响和机制；明晰增龄过程中人体微生态变化与2-3种器官功能退化、疾病易感性以及免疫代谢退化的关系和机理；发现肠道微生态影响智力退化和精神障碍的作用机制；挖掘8-10个基于人体微生态的增龄健康诊断和干预靶点；找出健康长寿家族的人体微生态特征，创制2-3项诊断或提升增龄过程机体健康和寿命的技术或产品。</w:t>
      </w:r>
    </w:p>
    <w:p>
      <w:pPr>
        <w:pStyle w:val="17"/>
        <w:snapToGrid w:val="0"/>
        <w:spacing w:before="156" w:beforeLines="50" w:after="156" w:afterLines="50" w:line="360" w:lineRule="auto"/>
        <w:ind w:firstLine="472" w:firstLineChars="196"/>
        <w:jc w:val="both"/>
        <w:rPr>
          <w:rFonts w:hint="eastAsia" w:ascii="仿宋" w:hAnsi="仿宋" w:eastAsia="仿宋"/>
          <w:color w:val="auto"/>
          <w:kern w:val="2"/>
        </w:rPr>
      </w:pPr>
      <w:r>
        <w:rPr>
          <w:rFonts w:ascii="仿宋" w:hAnsi="仿宋" w:eastAsia="仿宋"/>
          <w:b/>
          <w:color w:val="auto"/>
          <w:kern w:val="2"/>
        </w:rPr>
        <w:t>支持年限：</w:t>
      </w:r>
      <w:r>
        <w:rPr>
          <w:rFonts w:ascii="仿宋" w:hAnsi="仿宋" w:eastAsia="仿宋"/>
          <w:color w:val="auto"/>
          <w:kern w:val="2"/>
        </w:rPr>
        <w:t>2018-2022年</w:t>
      </w:r>
      <w:r>
        <w:rPr>
          <w:rFonts w:hint="eastAsia" w:ascii="仿宋" w:hAnsi="仿宋" w:eastAsia="仿宋"/>
          <w:color w:val="auto"/>
          <w:kern w:val="2"/>
        </w:rPr>
        <w:t>。</w:t>
      </w:r>
    </w:p>
    <w:p>
      <w:pPr>
        <w:pStyle w:val="17"/>
        <w:snapToGrid w:val="0"/>
        <w:spacing w:before="156" w:beforeLines="50" w:after="156" w:afterLines="50" w:line="360" w:lineRule="auto"/>
        <w:ind w:firstLine="472" w:firstLineChars="196"/>
        <w:jc w:val="both"/>
        <w:rPr>
          <w:rFonts w:ascii="仿宋" w:hAnsi="仿宋" w:eastAsia="仿宋"/>
          <w:color w:val="auto"/>
          <w:kern w:val="2"/>
        </w:rPr>
      </w:pPr>
      <w:r>
        <w:rPr>
          <w:rFonts w:ascii="仿宋" w:hAnsi="仿宋" w:eastAsia="仿宋"/>
          <w:b/>
          <w:color w:val="auto"/>
        </w:rPr>
        <w:t>拟支持项目数：</w:t>
      </w:r>
      <w:r>
        <w:rPr>
          <w:rFonts w:ascii="仿宋" w:hAnsi="仿宋" w:eastAsia="仿宋"/>
          <w:color w:val="auto"/>
        </w:rPr>
        <w:t>1-2项</w:t>
      </w:r>
      <w:r>
        <w:rPr>
          <w:rFonts w:hint="eastAsia" w:ascii="仿宋" w:hAnsi="仿宋" w:eastAsia="仿宋"/>
          <w:color w:val="auto"/>
        </w:rPr>
        <w:t>。</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156" w:beforeLines="50" w:after="156" w:afterLines="50" w:line="360" w:lineRule="auto"/>
        <w:jc w:val="left"/>
        <w:rPr>
          <w:rFonts w:ascii="仿宋" w:hAnsi="仿宋" w:eastAsia="仿宋"/>
          <w:sz w:val="24"/>
          <w:szCs w:val="24"/>
        </w:rPr>
      </w:pPr>
      <w:r>
        <w:rPr>
          <w:rFonts w:ascii="仿宋" w:hAnsi="仿宋" w:eastAsia="仿宋"/>
          <w:sz w:val="24"/>
          <w:szCs w:val="24"/>
        </w:rPr>
        <w:br w:type="page"/>
      </w:r>
    </w:p>
    <w:p>
      <w:pPr>
        <w:pStyle w:val="2"/>
        <w:widowControl/>
        <w:adjustRightInd w:val="0"/>
        <w:snapToGrid w:val="0"/>
        <w:spacing w:before="156" w:beforeLines="50" w:after="156" w:afterLines="50" w:line="360" w:lineRule="auto"/>
        <w:jc w:val="left"/>
        <w:rPr>
          <w:rFonts w:ascii="仿宋" w:hAnsi="仿宋" w:eastAsia="仿宋"/>
          <w:sz w:val="24"/>
          <w:szCs w:val="24"/>
        </w:rPr>
      </w:pPr>
      <w:r>
        <w:rPr>
          <w:rFonts w:ascii="仿宋" w:hAnsi="仿宋" w:eastAsia="仿宋"/>
          <w:sz w:val="24"/>
          <w:szCs w:val="24"/>
        </w:rPr>
        <w:t>任务二：主动健康关键技术和产品研发</w:t>
      </w:r>
    </w:p>
    <w:p>
      <w:pPr>
        <w:pStyle w:val="3"/>
        <w:adjustRightInd w:val="0"/>
        <w:snapToGrid w:val="0"/>
        <w:spacing w:before="156" w:beforeLines="50" w:after="156" w:afterLines="50" w:line="360" w:lineRule="auto"/>
        <w:rPr>
          <w:rFonts w:ascii="仿宋" w:hAnsi="仿宋" w:eastAsia="仿宋" w:cs="Times New Roman"/>
          <w:sz w:val="24"/>
          <w:szCs w:val="24"/>
        </w:rPr>
      </w:pPr>
      <w:r>
        <w:rPr>
          <w:rFonts w:ascii="仿宋" w:hAnsi="仿宋" w:eastAsia="仿宋" w:cs="仿宋"/>
          <w:sz w:val="24"/>
          <w:szCs w:val="24"/>
        </w:rPr>
        <w:t>2.1</w:t>
      </w:r>
      <w:r>
        <w:rPr>
          <w:rFonts w:hint="eastAsia" w:ascii="仿宋" w:hAnsi="仿宋" w:eastAsia="仿宋" w:cs="仿宋"/>
          <w:sz w:val="24"/>
          <w:szCs w:val="24"/>
        </w:rPr>
        <w:t>主动健康服务技术研究</w:t>
      </w:r>
    </w:p>
    <w:p>
      <w:pPr>
        <w:pStyle w:val="4"/>
        <w:adjustRightInd w:val="0"/>
        <w:snapToGrid w:val="0"/>
        <w:spacing w:before="156" w:beforeLines="50" w:after="156" w:afterLines="50" w:line="360" w:lineRule="auto"/>
        <w:rPr>
          <w:rFonts w:ascii="仿宋" w:hAnsi="仿宋" w:eastAsia="仿宋"/>
          <w:sz w:val="24"/>
          <w:szCs w:val="24"/>
        </w:rPr>
      </w:pPr>
      <w:r>
        <w:rPr>
          <w:rFonts w:hint="eastAsia" w:ascii="仿宋" w:hAnsi="仿宋" w:eastAsia="仿宋"/>
          <w:sz w:val="24"/>
          <w:szCs w:val="24"/>
        </w:rPr>
        <w:t>2.1.1运动促进健康精准指导方案关键技术研究</w:t>
      </w:r>
    </w:p>
    <w:p>
      <w:pPr>
        <w:adjustRightInd w:val="0"/>
        <w:snapToGrid w:val="0"/>
        <w:spacing w:before="156" w:beforeLines="50" w:after="156" w:afterLines="50" w:line="360" w:lineRule="auto"/>
        <w:ind w:firstLine="472" w:firstLineChars="196"/>
        <w:rPr>
          <w:rFonts w:ascii="仿宋" w:hAnsi="仿宋" w:eastAsia="仿宋"/>
          <w:b/>
          <w:bCs/>
          <w:sz w:val="24"/>
          <w:szCs w:val="24"/>
        </w:rPr>
      </w:pPr>
      <w:r>
        <w:rPr>
          <w:rFonts w:hint="eastAsia" w:ascii="仿宋" w:hAnsi="仿宋" w:eastAsia="仿宋" w:cs="仿宋_GB2312"/>
          <w:b/>
          <w:bCs/>
          <w:sz w:val="24"/>
          <w:szCs w:val="24"/>
        </w:rPr>
        <w:t>研究内容：</w:t>
      </w:r>
      <w:r>
        <w:rPr>
          <w:rFonts w:hint="eastAsia" w:ascii="仿宋" w:hAnsi="仿宋" w:eastAsia="仿宋" w:cs="仿宋_GB2312"/>
          <w:sz w:val="24"/>
          <w:szCs w:val="24"/>
        </w:rPr>
        <w:t>精准测量不同体力活动方式的能量消耗，结合饮食、生活方式制定适合中国人群的体力活动能耗指南，探讨决定运动健身效果的关键因素，综合行为学、心理学、社会学，开展运动健身效果的综合评价研究，为精准制定运动处方提供新方法，建立精准化运动处方库；开展传统体育养生项目挖掘及防治常见慢病效果研究。</w:t>
      </w:r>
    </w:p>
    <w:p>
      <w:pPr>
        <w:adjustRightInd w:val="0"/>
        <w:snapToGrid w:val="0"/>
        <w:spacing w:before="156" w:beforeLines="50" w:after="156" w:afterLines="50" w:line="360" w:lineRule="auto"/>
        <w:ind w:firstLine="472" w:firstLineChars="196"/>
        <w:rPr>
          <w:rFonts w:ascii="仿宋" w:hAnsi="仿宋" w:eastAsia="仿宋"/>
          <w:b/>
          <w:bCs/>
          <w:sz w:val="24"/>
          <w:szCs w:val="24"/>
        </w:rPr>
      </w:pPr>
      <w:r>
        <w:rPr>
          <w:rFonts w:hint="eastAsia" w:ascii="仿宋" w:hAnsi="仿宋" w:eastAsia="仿宋" w:cs="仿宋_GB2312"/>
          <w:b/>
          <w:bCs/>
          <w:sz w:val="24"/>
          <w:szCs w:val="24"/>
        </w:rPr>
        <w:t>考核指标：</w:t>
      </w:r>
      <w:r>
        <w:rPr>
          <w:rFonts w:hint="eastAsia" w:ascii="仿宋" w:hAnsi="仿宋" w:eastAsia="仿宋" w:cs="仿宋_GB2312"/>
          <w:sz w:val="24"/>
          <w:szCs w:val="24"/>
        </w:rPr>
        <w:t>构建运动处方理论体系，制定适合中国人群的体力活动能耗指南，建立适合中国人特点的运动处方制定标准，建立精准化运动处方库；挖掘传统体育养生方法并进行效果验证；实现自主知识产权关键技术，建立相关规范和标准</w:t>
      </w:r>
      <w:r>
        <w:rPr>
          <w:rFonts w:ascii="仿宋" w:hAnsi="仿宋" w:eastAsia="仿宋" w:cs="仿宋_GB2312"/>
          <w:sz w:val="24"/>
          <w:szCs w:val="24"/>
        </w:rPr>
        <w:t>5</w:t>
      </w:r>
      <w:r>
        <w:rPr>
          <w:rFonts w:hint="eastAsia" w:ascii="仿宋" w:hAnsi="仿宋" w:eastAsia="仿宋" w:cs="仿宋_GB2312"/>
          <w:sz w:val="24"/>
          <w:szCs w:val="24"/>
        </w:rPr>
        <w:t>套，申请专利</w:t>
      </w:r>
      <w:r>
        <w:rPr>
          <w:rFonts w:ascii="仿宋" w:hAnsi="仿宋" w:eastAsia="仿宋" w:cs="仿宋_GB2312"/>
          <w:sz w:val="24"/>
          <w:szCs w:val="24"/>
        </w:rPr>
        <w:t>5</w:t>
      </w:r>
      <w:r>
        <w:rPr>
          <w:rFonts w:hint="eastAsia" w:ascii="仿宋" w:hAnsi="仿宋" w:eastAsia="仿宋" w:cs="仿宋_GB2312"/>
          <w:sz w:val="24"/>
          <w:szCs w:val="24"/>
        </w:rPr>
        <w:t>项以上；培养人才</w:t>
      </w:r>
      <w:r>
        <w:rPr>
          <w:rFonts w:ascii="仿宋" w:hAnsi="仿宋" w:eastAsia="仿宋" w:cs="仿宋_GB2312"/>
          <w:sz w:val="24"/>
          <w:szCs w:val="24"/>
        </w:rPr>
        <w:t>50</w:t>
      </w:r>
      <w:r>
        <w:rPr>
          <w:rFonts w:hint="eastAsia" w:ascii="仿宋" w:hAnsi="仿宋" w:eastAsia="仿宋" w:cs="仿宋_GB2312"/>
          <w:sz w:val="24"/>
          <w:szCs w:val="24"/>
        </w:rPr>
        <w:t>人。</w:t>
      </w:r>
    </w:p>
    <w:p>
      <w:pPr>
        <w:adjustRightInd w:val="0"/>
        <w:snapToGrid w:val="0"/>
        <w:spacing w:before="156" w:beforeLines="50" w:after="156" w:afterLines="50" w:line="360" w:lineRule="auto"/>
        <w:ind w:firstLine="472" w:firstLineChars="196"/>
        <w:rPr>
          <w:rFonts w:ascii="仿宋" w:hAnsi="仿宋" w:eastAsia="仿宋"/>
          <w:sz w:val="24"/>
          <w:szCs w:val="24"/>
        </w:rPr>
      </w:pPr>
      <w:r>
        <w:rPr>
          <w:rFonts w:hint="eastAsia" w:ascii="仿宋" w:hAnsi="仿宋" w:eastAsia="仿宋" w:cs="仿宋_GB2312"/>
          <w:b/>
          <w:bCs/>
          <w:sz w:val="24"/>
          <w:szCs w:val="24"/>
        </w:rPr>
        <w:t>支持年限：</w:t>
      </w:r>
      <w:r>
        <w:rPr>
          <w:rFonts w:ascii="仿宋" w:hAnsi="仿宋" w:eastAsia="仿宋" w:cs="仿宋_GB2312"/>
          <w:sz w:val="24"/>
          <w:szCs w:val="24"/>
        </w:rPr>
        <w:t>2018</w:t>
      </w:r>
      <w:r>
        <w:rPr>
          <w:rFonts w:hint="eastAsia" w:ascii="仿宋" w:hAnsi="仿宋" w:eastAsia="仿宋" w:cs="仿宋_GB2312"/>
          <w:sz w:val="24"/>
          <w:szCs w:val="24"/>
        </w:rPr>
        <w:t>年</w:t>
      </w:r>
      <w:r>
        <w:rPr>
          <w:rFonts w:ascii="仿宋" w:hAnsi="仿宋" w:eastAsia="仿宋" w:cs="仿宋_GB2312"/>
          <w:sz w:val="24"/>
          <w:szCs w:val="24"/>
        </w:rPr>
        <w:t>-2022</w:t>
      </w:r>
      <w:r>
        <w:rPr>
          <w:rFonts w:hint="eastAsia" w:ascii="仿宋" w:hAnsi="仿宋" w:eastAsia="仿宋" w:cs="仿宋_GB2312"/>
          <w:sz w:val="24"/>
          <w:szCs w:val="24"/>
        </w:rPr>
        <w:t>年</w:t>
      </w:r>
    </w:p>
    <w:p>
      <w:pPr>
        <w:adjustRightInd w:val="0"/>
        <w:snapToGrid w:val="0"/>
        <w:spacing w:before="156" w:beforeLines="50" w:after="156" w:afterLines="50" w:line="360" w:lineRule="auto"/>
        <w:ind w:firstLine="472" w:firstLineChars="196"/>
        <w:rPr>
          <w:rFonts w:ascii="仿宋" w:hAnsi="仿宋" w:eastAsia="仿宋"/>
          <w:b/>
          <w:bCs/>
          <w:sz w:val="24"/>
          <w:szCs w:val="24"/>
        </w:rPr>
      </w:pPr>
      <w:r>
        <w:rPr>
          <w:rFonts w:hint="eastAsia" w:ascii="仿宋" w:hAnsi="仿宋" w:eastAsia="仿宋" w:cs="仿宋_GB2312"/>
          <w:b/>
          <w:bCs/>
          <w:sz w:val="24"/>
          <w:szCs w:val="24"/>
        </w:rPr>
        <w:t>拟支持项目：</w:t>
      </w:r>
      <w:r>
        <w:rPr>
          <w:rFonts w:ascii="仿宋" w:hAnsi="仿宋" w:eastAsia="仿宋" w:cs="仿宋_GB2312"/>
          <w:sz w:val="24"/>
          <w:szCs w:val="24"/>
        </w:rPr>
        <w:t>1-2</w:t>
      </w:r>
      <w:r>
        <w:rPr>
          <w:rFonts w:hint="eastAsia" w:ascii="仿宋" w:hAnsi="仿宋" w:eastAsia="仿宋" w:cs="仿宋_GB2312"/>
          <w:sz w:val="24"/>
          <w:szCs w:val="24"/>
        </w:rPr>
        <w:t>项</w:t>
      </w:r>
    </w:p>
    <w:p>
      <w:pPr>
        <w:adjustRightInd w:val="0"/>
        <w:snapToGrid w:val="0"/>
        <w:spacing w:before="156" w:beforeLines="50" w:after="156" w:afterLines="50" w:line="360" w:lineRule="auto"/>
        <w:ind w:firstLine="472" w:firstLineChars="196"/>
        <w:rPr>
          <w:rFonts w:ascii="仿宋" w:hAnsi="仿宋" w:eastAsia="仿宋"/>
          <w:sz w:val="24"/>
          <w:szCs w:val="24"/>
        </w:rPr>
      </w:pPr>
      <w:r>
        <w:rPr>
          <w:rFonts w:hint="eastAsia" w:ascii="仿宋" w:hAnsi="仿宋" w:eastAsia="仿宋" w:cs="仿宋_GB2312"/>
          <w:b/>
          <w:bCs/>
          <w:sz w:val="24"/>
          <w:szCs w:val="24"/>
        </w:rPr>
        <w:t>有关说明：</w:t>
      </w:r>
      <w:r>
        <w:rPr>
          <w:rFonts w:hint="eastAsia" w:ascii="仿宋" w:hAnsi="仿宋" w:eastAsia="仿宋" w:cs="仿宋_GB2312"/>
          <w:sz w:val="24"/>
          <w:szCs w:val="24"/>
        </w:rPr>
        <w:t>牵头单位应具备实施相关工作条件和研究条件，要求国内优势科研单位联合申报，其他经费（包括地方财政经费、单位出资及社会渠道资金等）与中央财政经费比例不低于3</w:t>
      </w:r>
      <w:r>
        <w:rPr>
          <w:rFonts w:ascii="仿宋" w:hAnsi="仿宋" w:eastAsia="仿宋" w:cs="仿宋_GB2312"/>
          <w:sz w:val="24"/>
          <w:szCs w:val="24"/>
        </w:rPr>
        <w:t>:1</w:t>
      </w:r>
      <w:r>
        <w:rPr>
          <w:rFonts w:hint="eastAsia" w:ascii="仿宋" w:hAnsi="仿宋" w:eastAsia="仿宋" w:cs="仿宋_GB2312"/>
          <w:sz w:val="24"/>
          <w:szCs w:val="24"/>
        </w:rPr>
        <w:t>。</w:t>
      </w:r>
    </w:p>
    <w:p>
      <w:pPr>
        <w:autoSpaceDE w:val="0"/>
        <w:autoSpaceDN w:val="0"/>
        <w:adjustRightInd w:val="0"/>
        <w:snapToGrid w:val="0"/>
        <w:spacing w:before="156" w:beforeLines="50" w:after="156" w:afterLines="50" w:line="360" w:lineRule="auto"/>
        <w:ind w:firstLine="564"/>
        <w:jc w:val="left"/>
        <w:rPr>
          <w:rFonts w:ascii="仿宋" w:hAnsi="仿宋" w:eastAsia="仿宋"/>
          <w:sz w:val="24"/>
          <w:szCs w:val="24"/>
        </w:rPr>
      </w:pPr>
    </w:p>
    <w:p>
      <w:pPr>
        <w:pStyle w:val="4"/>
        <w:adjustRightInd w:val="0"/>
        <w:snapToGrid w:val="0"/>
        <w:spacing w:before="156" w:beforeLines="50" w:after="156" w:afterLines="50" w:line="360" w:lineRule="auto"/>
        <w:rPr>
          <w:rFonts w:ascii="仿宋" w:hAnsi="仿宋" w:eastAsia="仿宋"/>
          <w:sz w:val="24"/>
          <w:szCs w:val="24"/>
        </w:rPr>
      </w:pPr>
      <w:r>
        <w:rPr>
          <w:rFonts w:hint="eastAsia" w:ascii="仿宋" w:hAnsi="仿宋" w:eastAsia="仿宋"/>
          <w:sz w:val="24"/>
          <w:szCs w:val="24"/>
        </w:rPr>
        <w:t>2.1.2个人健康监测大数据云平台</w:t>
      </w:r>
    </w:p>
    <w:p>
      <w:pPr>
        <w:adjustRightInd w:val="0"/>
        <w:snapToGrid w:val="0"/>
        <w:spacing w:before="156" w:beforeLines="50" w:after="156" w:afterLines="50" w:line="360" w:lineRule="auto"/>
        <w:ind w:firstLine="472" w:firstLineChars="196"/>
        <w:rPr>
          <w:rFonts w:ascii="仿宋" w:hAnsi="仿宋" w:eastAsia="仿宋"/>
          <w:b/>
          <w:bCs/>
          <w:sz w:val="24"/>
          <w:szCs w:val="24"/>
        </w:rPr>
      </w:pPr>
      <w:r>
        <w:rPr>
          <w:rFonts w:hint="eastAsia" w:ascii="仿宋" w:hAnsi="仿宋" w:eastAsia="仿宋" w:cs="仿宋_GB2312"/>
          <w:b/>
          <w:bCs/>
          <w:sz w:val="24"/>
          <w:szCs w:val="24"/>
        </w:rPr>
        <w:t>研究内容：</w:t>
      </w:r>
      <w:r>
        <w:rPr>
          <w:rFonts w:hint="eastAsia" w:ascii="仿宋" w:hAnsi="仿宋" w:eastAsia="仿宋" w:cs="仿宋_GB2312"/>
          <w:sz w:val="24"/>
          <w:szCs w:val="24"/>
        </w:rPr>
        <w:t>研究新型穿戴式、移动式、便携式、植入式、远程健康监测设备及终端，以家庭、社区、单位为中心，采集居民的日常基础身体指标、体征、行为、运动、饮食、睡眠等健康信息，以及血压、血糖、心电、呼吸信号、场景辨识等慢病管控相关的多参数数据；研究多维、动态、异构、多层次个人健康监测信息的集成、融合、存储、清洗和分析技术，开放式数据接口访问技术，个人健康数据隐私保护机制、健康数据服务安全管控机制和访问技术；研究基于大数据及人工智能技术的健康监测分析模型、个性化健康画像和健康评估技术，构建基于区块链架构的以个人健康监测信息服务为主的大数据云平台，构建个人健康监测的大数据表达、组织与访问的标准化技术体系；在不少于三个区域内开展个体健康大数据的有效利用，重点研究面向健康和体能评价、疾病预测预警、生活方式干预、心理和行为调控、慢病管控、个性化营养平衡方案等健康大数据应用新服务，实现基于数据科学驱动的疾病早期智能发现与预防，健康精准管理等应用。</w:t>
      </w:r>
    </w:p>
    <w:p>
      <w:pPr>
        <w:adjustRightInd w:val="0"/>
        <w:snapToGrid w:val="0"/>
        <w:spacing w:before="156" w:beforeLines="50" w:after="156" w:afterLines="50" w:line="360" w:lineRule="auto"/>
        <w:ind w:firstLine="472" w:firstLineChars="196"/>
        <w:rPr>
          <w:rFonts w:ascii="仿宋" w:hAnsi="仿宋" w:eastAsia="仿宋"/>
          <w:sz w:val="24"/>
          <w:szCs w:val="24"/>
        </w:rPr>
      </w:pPr>
      <w:r>
        <w:rPr>
          <w:rFonts w:hint="eastAsia" w:ascii="仿宋" w:hAnsi="仿宋" w:eastAsia="仿宋" w:cs="仿宋_GB2312"/>
          <w:b/>
          <w:bCs/>
          <w:sz w:val="24"/>
          <w:szCs w:val="24"/>
        </w:rPr>
        <w:t>考核指标：</w:t>
      </w:r>
      <w:r>
        <w:rPr>
          <w:rFonts w:hint="eastAsia" w:ascii="仿宋" w:hAnsi="仿宋" w:eastAsia="仿宋" w:cs="仿宋_GB2312"/>
          <w:sz w:val="24"/>
          <w:szCs w:val="24"/>
        </w:rPr>
        <w:t>在不少于三个区域内开展示范应用，采集不少于</w:t>
      </w:r>
      <w:r>
        <w:rPr>
          <w:rFonts w:ascii="仿宋" w:hAnsi="仿宋" w:eastAsia="仿宋" w:cs="仿宋_GB2312"/>
          <w:sz w:val="24"/>
          <w:szCs w:val="24"/>
        </w:rPr>
        <w:t>50</w:t>
      </w:r>
      <w:r>
        <w:rPr>
          <w:rFonts w:hint="eastAsia" w:ascii="仿宋" w:hAnsi="仿宋" w:eastAsia="仿宋" w:cs="仿宋_GB2312"/>
          <w:sz w:val="24"/>
          <w:szCs w:val="24"/>
        </w:rPr>
        <w:t>万人以上人群的生理生化、运动行为、生活方式、疾病相关等多参数健康信息；实现不少于</w:t>
      </w:r>
      <w:r>
        <w:rPr>
          <w:rFonts w:ascii="仿宋" w:hAnsi="仿宋" w:eastAsia="仿宋" w:cs="仿宋_GB2312"/>
          <w:sz w:val="24"/>
          <w:szCs w:val="24"/>
        </w:rPr>
        <w:t>100</w:t>
      </w:r>
      <w:r>
        <w:rPr>
          <w:rFonts w:hint="eastAsia" w:ascii="仿宋" w:hAnsi="仿宋" w:eastAsia="仿宋" w:cs="仿宋_GB2312"/>
          <w:sz w:val="24"/>
          <w:szCs w:val="24"/>
        </w:rPr>
        <w:t>万人以上人群通过移动互联网应用查询和管理个人健康档案；开发不少于</w:t>
      </w:r>
      <w:r>
        <w:rPr>
          <w:rFonts w:ascii="仿宋" w:hAnsi="仿宋" w:eastAsia="仿宋" w:cs="仿宋_GB2312"/>
          <w:sz w:val="24"/>
          <w:szCs w:val="24"/>
        </w:rPr>
        <w:t>10</w:t>
      </w:r>
      <w:r>
        <w:rPr>
          <w:rFonts w:hint="eastAsia" w:ascii="仿宋" w:hAnsi="仿宋" w:eastAsia="仿宋" w:cs="仿宋_GB2312"/>
          <w:sz w:val="24"/>
          <w:szCs w:val="24"/>
        </w:rPr>
        <w:t>个面向家庭、企事业单位等典型场景的健康大数据集成、融合、存储和分析的软件系统；构建动态、持续性的个人健康监测大数据云平台，实现个人健康数据的隐私保护机制，建立安全、开放式的数据访问接口以及共享利用规范；建立智能化健康监测数据模型及驱动引擎，开展健康监测大数据云平台的示范应用；研发</w:t>
      </w:r>
      <w:r>
        <w:rPr>
          <w:rFonts w:ascii="仿宋" w:hAnsi="仿宋" w:eastAsia="仿宋" w:cs="仿宋_GB2312"/>
          <w:sz w:val="24"/>
          <w:szCs w:val="24"/>
        </w:rPr>
        <w:t>3</w:t>
      </w:r>
      <w:r>
        <w:rPr>
          <w:rFonts w:hint="eastAsia" w:ascii="仿宋" w:hAnsi="仿宋" w:eastAsia="仿宋" w:cs="仿宋_GB2312"/>
          <w:sz w:val="24"/>
          <w:szCs w:val="24"/>
        </w:rPr>
        <w:t>项以上个人健康监测大数据表达、管理与访问相关的标准规范；研究建立不少于</w:t>
      </w:r>
      <w:r>
        <w:rPr>
          <w:rFonts w:ascii="仿宋" w:hAnsi="仿宋" w:eastAsia="仿宋" w:cs="仿宋_GB2312"/>
          <w:sz w:val="24"/>
          <w:szCs w:val="24"/>
        </w:rPr>
        <w:t>10</w:t>
      </w:r>
      <w:r>
        <w:rPr>
          <w:rFonts w:hint="eastAsia" w:ascii="仿宋" w:hAnsi="仿宋" w:eastAsia="仿宋" w:cs="仿宋_GB2312"/>
          <w:sz w:val="24"/>
          <w:szCs w:val="24"/>
        </w:rPr>
        <w:t>项基于健康大数据的典型应用。申请</w:t>
      </w:r>
      <w:r>
        <w:rPr>
          <w:rFonts w:ascii="仿宋" w:hAnsi="仿宋" w:eastAsia="仿宋" w:cs="仿宋_GB2312"/>
          <w:sz w:val="24"/>
          <w:szCs w:val="24"/>
        </w:rPr>
        <w:t>6</w:t>
      </w:r>
      <w:r>
        <w:rPr>
          <w:rFonts w:hint="eastAsia" w:ascii="仿宋" w:hAnsi="仿宋" w:eastAsia="仿宋" w:cs="仿宋_GB2312"/>
          <w:sz w:val="24"/>
          <w:szCs w:val="24"/>
        </w:rPr>
        <w:t>项以上技术发明专利，获得</w:t>
      </w:r>
      <w:r>
        <w:rPr>
          <w:rFonts w:ascii="仿宋" w:hAnsi="仿宋" w:eastAsia="仿宋" w:cs="仿宋_GB2312"/>
          <w:sz w:val="24"/>
          <w:szCs w:val="24"/>
        </w:rPr>
        <w:t>20</w:t>
      </w:r>
      <w:r>
        <w:rPr>
          <w:rFonts w:hint="eastAsia" w:ascii="仿宋" w:hAnsi="仿宋" w:eastAsia="仿宋" w:cs="仿宋_GB2312"/>
          <w:sz w:val="24"/>
          <w:szCs w:val="24"/>
        </w:rPr>
        <w:t>项以上软件著作权。</w:t>
      </w:r>
    </w:p>
    <w:p>
      <w:pPr>
        <w:adjustRightInd w:val="0"/>
        <w:snapToGrid w:val="0"/>
        <w:spacing w:before="156" w:beforeLines="50" w:after="156" w:afterLines="50" w:line="360" w:lineRule="auto"/>
        <w:ind w:firstLine="472" w:firstLineChars="196"/>
        <w:rPr>
          <w:rFonts w:ascii="仿宋" w:hAnsi="仿宋" w:eastAsia="仿宋"/>
          <w:sz w:val="24"/>
          <w:szCs w:val="24"/>
        </w:rPr>
      </w:pPr>
      <w:r>
        <w:rPr>
          <w:rFonts w:hint="eastAsia" w:ascii="仿宋" w:hAnsi="仿宋" w:eastAsia="仿宋" w:cs="仿宋_GB2312"/>
          <w:b/>
          <w:bCs/>
          <w:sz w:val="24"/>
          <w:szCs w:val="24"/>
        </w:rPr>
        <w:t>支持年限：</w:t>
      </w:r>
      <w:r>
        <w:rPr>
          <w:rFonts w:ascii="仿宋" w:hAnsi="仿宋" w:eastAsia="仿宋" w:cs="仿宋_GB2312"/>
          <w:sz w:val="24"/>
          <w:szCs w:val="24"/>
        </w:rPr>
        <w:t>2018</w:t>
      </w:r>
      <w:r>
        <w:rPr>
          <w:rFonts w:hint="eastAsia" w:ascii="仿宋" w:hAnsi="仿宋" w:eastAsia="仿宋" w:cs="仿宋_GB2312"/>
          <w:sz w:val="24"/>
          <w:szCs w:val="24"/>
        </w:rPr>
        <w:t>年</w:t>
      </w:r>
      <w:r>
        <w:rPr>
          <w:rFonts w:ascii="仿宋" w:hAnsi="仿宋" w:eastAsia="仿宋" w:cs="仿宋_GB2312"/>
          <w:sz w:val="24"/>
          <w:szCs w:val="24"/>
        </w:rPr>
        <w:t>-2022</w:t>
      </w:r>
      <w:r>
        <w:rPr>
          <w:rFonts w:hint="eastAsia" w:ascii="仿宋" w:hAnsi="仿宋" w:eastAsia="仿宋" w:cs="仿宋_GB2312"/>
          <w:sz w:val="24"/>
          <w:szCs w:val="24"/>
        </w:rPr>
        <w:t>年</w:t>
      </w:r>
    </w:p>
    <w:p>
      <w:pPr>
        <w:adjustRightInd w:val="0"/>
        <w:snapToGrid w:val="0"/>
        <w:spacing w:before="156" w:beforeLines="50" w:after="156" w:afterLines="50" w:line="360" w:lineRule="auto"/>
        <w:ind w:firstLine="472" w:firstLineChars="196"/>
        <w:rPr>
          <w:rFonts w:ascii="仿宋" w:hAnsi="仿宋" w:eastAsia="仿宋"/>
          <w:b/>
          <w:bCs/>
          <w:sz w:val="24"/>
          <w:szCs w:val="24"/>
        </w:rPr>
      </w:pPr>
      <w:r>
        <w:rPr>
          <w:rFonts w:hint="eastAsia" w:ascii="仿宋" w:hAnsi="仿宋" w:eastAsia="仿宋" w:cs="仿宋_GB2312"/>
          <w:b/>
          <w:bCs/>
          <w:sz w:val="24"/>
          <w:szCs w:val="24"/>
        </w:rPr>
        <w:t>拟支持项目数</w:t>
      </w:r>
      <w:r>
        <w:rPr>
          <w:rFonts w:ascii="仿宋" w:hAnsi="仿宋" w:eastAsia="仿宋" w:cs="仿宋_GB2312"/>
          <w:b/>
          <w:bCs/>
          <w:sz w:val="24"/>
          <w:szCs w:val="24"/>
        </w:rPr>
        <w:t>:</w:t>
      </w:r>
      <w:r>
        <w:rPr>
          <w:rFonts w:ascii="仿宋" w:hAnsi="仿宋" w:eastAsia="仿宋" w:cs="仿宋_GB2312"/>
          <w:sz w:val="24"/>
          <w:szCs w:val="24"/>
        </w:rPr>
        <w:t>1-2</w:t>
      </w:r>
      <w:r>
        <w:rPr>
          <w:rFonts w:hint="eastAsia" w:ascii="仿宋" w:hAnsi="仿宋" w:eastAsia="仿宋" w:cs="仿宋_GB2312"/>
          <w:sz w:val="24"/>
          <w:szCs w:val="24"/>
        </w:rPr>
        <w:t>项</w:t>
      </w:r>
    </w:p>
    <w:p>
      <w:pPr>
        <w:adjustRightInd w:val="0"/>
        <w:snapToGrid w:val="0"/>
        <w:spacing w:line="360" w:lineRule="auto"/>
        <w:ind w:firstLine="472" w:firstLineChars="196"/>
        <w:rPr>
          <w:rFonts w:ascii="仿宋" w:hAnsi="仿宋" w:eastAsia="仿宋" w:cs="仿宋_GB2312"/>
          <w:sz w:val="24"/>
          <w:szCs w:val="24"/>
        </w:rPr>
      </w:pPr>
      <w:r>
        <w:rPr>
          <w:rFonts w:hint="eastAsia" w:ascii="仿宋" w:hAnsi="仿宋" w:eastAsia="仿宋" w:cs="仿宋_GB2312"/>
          <w:b/>
          <w:bCs/>
          <w:sz w:val="24"/>
          <w:szCs w:val="24"/>
        </w:rPr>
        <w:t>有关说明</w:t>
      </w:r>
      <w:r>
        <w:rPr>
          <w:rFonts w:ascii="仿宋" w:hAnsi="仿宋" w:eastAsia="仿宋" w:cs="仿宋_GB2312"/>
          <w:b/>
          <w:bCs/>
          <w:sz w:val="24"/>
          <w:szCs w:val="24"/>
        </w:rPr>
        <w:t>:</w:t>
      </w:r>
      <w:r>
        <w:rPr>
          <w:rFonts w:hint="eastAsia" w:ascii="仿宋" w:hAnsi="仿宋" w:eastAsia="仿宋" w:cs="仿宋_GB2312"/>
          <w:sz w:val="24"/>
          <w:szCs w:val="24"/>
        </w:rPr>
        <w:t>鼓励企业牵头，加强产学研医合作。其他经费</w:t>
      </w:r>
      <w:r>
        <w:rPr>
          <w:rFonts w:ascii="仿宋" w:hAnsi="仿宋" w:eastAsia="仿宋" w:cs="仿宋_GB2312"/>
          <w:sz w:val="24"/>
          <w:szCs w:val="24"/>
        </w:rPr>
        <w:t>(</w:t>
      </w:r>
      <w:r>
        <w:rPr>
          <w:rFonts w:hint="eastAsia" w:ascii="仿宋" w:hAnsi="仿宋" w:eastAsia="仿宋" w:cs="仿宋_GB2312"/>
          <w:sz w:val="24"/>
          <w:szCs w:val="24"/>
        </w:rPr>
        <w:t>包括地方财政经费、单位出资及社会渠道资金等</w:t>
      </w:r>
      <w:r>
        <w:rPr>
          <w:rFonts w:ascii="仿宋" w:hAnsi="仿宋" w:eastAsia="仿宋" w:cs="仿宋_GB2312"/>
          <w:sz w:val="24"/>
          <w:szCs w:val="24"/>
        </w:rPr>
        <w:t>)</w:t>
      </w:r>
      <w:r>
        <w:rPr>
          <w:rFonts w:hint="eastAsia" w:ascii="仿宋" w:hAnsi="仿宋" w:eastAsia="仿宋" w:cs="仿宋_GB2312"/>
          <w:sz w:val="24"/>
          <w:szCs w:val="24"/>
        </w:rPr>
        <w:t>与中央财政经费比例不低于3</w:t>
      </w:r>
      <w:r>
        <w:rPr>
          <w:rFonts w:ascii="仿宋" w:hAnsi="仿宋" w:eastAsia="仿宋" w:cs="仿宋_GB2312"/>
          <w:sz w:val="24"/>
          <w:szCs w:val="24"/>
        </w:rPr>
        <w:t>:1</w:t>
      </w:r>
      <w:r>
        <w:rPr>
          <w:rFonts w:hint="eastAsia" w:ascii="仿宋" w:hAnsi="仿宋" w:eastAsia="仿宋" w:cs="仿宋_GB2312"/>
          <w:sz w:val="24"/>
          <w:szCs w:val="24"/>
        </w:rPr>
        <w:t>。</w:t>
      </w:r>
    </w:p>
    <w:p>
      <w:pPr>
        <w:adjustRightInd w:val="0"/>
        <w:snapToGrid w:val="0"/>
        <w:spacing w:line="360" w:lineRule="auto"/>
        <w:ind w:firstLine="470" w:firstLineChars="196"/>
        <w:rPr>
          <w:rFonts w:ascii="仿宋" w:hAnsi="仿宋" w:eastAsia="仿宋"/>
          <w:sz w:val="24"/>
          <w:szCs w:val="24"/>
        </w:rPr>
      </w:pPr>
    </w:p>
    <w:p>
      <w:pPr>
        <w:pStyle w:val="4"/>
        <w:adjustRightInd w:val="0"/>
        <w:snapToGrid w:val="0"/>
        <w:spacing w:before="156" w:beforeLines="50" w:after="156" w:afterLines="50" w:line="360" w:lineRule="auto"/>
        <w:rPr>
          <w:rFonts w:ascii="仿宋" w:hAnsi="仿宋" w:eastAsia="仿宋"/>
          <w:sz w:val="24"/>
          <w:szCs w:val="24"/>
        </w:rPr>
      </w:pPr>
      <w:r>
        <w:rPr>
          <w:rFonts w:hint="eastAsia" w:ascii="仿宋" w:hAnsi="仿宋" w:eastAsia="仿宋"/>
          <w:sz w:val="24"/>
          <w:szCs w:val="24"/>
        </w:rPr>
        <w:t>2.1.3健康数据采集产品标准体系及通用技术标准和产品标准研究</w:t>
      </w:r>
    </w:p>
    <w:p>
      <w:pPr>
        <w:adjustRightInd w:val="0"/>
        <w:snapToGrid w:val="0"/>
        <w:spacing w:before="156" w:beforeLines="50" w:after="156" w:afterLines="50" w:line="360" w:lineRule="auto"/>
        <w:ind w:firstLine="482" w:firstLineChars="200"/>
        <w:rPr>
          <w:rFonts w:ascii="仿宋" w:hAnsi="仿宋" w:eastAsia="仿宋"/>
          <w:b/>
          <w:bCs/>
          <w:sz w:val="24"/>
          <w:szCs w:val="24"/>
        </w:rPr>
      </w:pPr>
      <w:r>
        <w:rPr>
          <w:rFonts w:hint="eastAsia" w:ascii="仿宋" w:hAnsi="仿宋" w:eastAsia="仿宋" w:cs="仿宋_GB2312"/>
          <w:b/>
          <w:bCs/>
          <w:sz w:val="24"/>
          <w:szCs w:val="24"/>
        </w:rPr>
        <w:t>研究内容：</w:t>
      </w:r>
      <w:r>
        <w:rPr>
          <w:rFonts w:hint="eastAsia" w:ascii="仿宋" w:hAnsi="仿宋" w:eastAsia="仿宋" w:cs="仿宋_GB2312"/>
          <w:sz w:val="24"/>
          <w:szCs w:val="24"/>
        </w:rPr>
        <w:t>围绕主动健康数据采集产品质量评价共性技术，跟踪主动健康数据采集产品相关技术领域国内外新技术及产业发展趋势，研究并提出健康数据采集产品（包括动态采集、远程监测等产品）的标准体系和健康态评估体系。针对采集人体生理指标和健康态大数据的健康产品，研究其评估生理指标的测评标准。通过建立大数据健康评估系统，研究健康产品临床评价标准，实现健康数据采集和临床评估的标准化与规范化。</w:t>
      </w:r>
    </w:p>
    <w:p>
      <w:pPr>
        <w:adjustRightInd w:val="0"/>
        <w:snapToGrid w:val="0"/>
        <w:spacing w:before="156" w:beforeLines="50" w:after="156" w:afterLines="50" w:line="360" w:lineRule="auto"/>
        <w:ind w:firstLine="482" w:firstLineChars="200"/>
        <w:rPr>
          <w:rFonts w:ascii="仿宋" w:hAnsi="仿宋" w:eastAsia="仿宋"/>
          <w:b/>
          <w:bCs/>
          <w:sz w:val="24"/>
          <w:szCs w:val="24"/>
        </w:rPr>
      </w:pPr>
      <w:r>
        <w:rPr>
          <w:rFonts w:hint="eastAsia" w:ascii="仿宋" w:hAnsi="仿宋" w:eastAsia="仿宋" w:cs="仿宋_GB2312"/>
          <w:b/>
          <w:bCs/>
          <w:sz w:val="24"/>
          <w:szCs w:val="24"/>
        </w:rPr>
        <w:t>考核指标：</w:t>
      </w:r>
      <w:r>
        <w:rPr>
          <w:rFonts w:hint="eastAsia" w:ascii="仿宋" w:hAnsi="仿宋" w:eastAsia="仿宋" w:cs="仿宋_GB2312"/>
          <w:sz w:val="24"/>
          <w:szCs w:val="24"/>
        </w:rPr>
        <w:t>建立并完善主动健康产品和健康态评估标准体系；针对动态血压、脑电、心电、血氧、血糖等现代新技术所反应的人体功能状态，形成基于大数据的至少</w:t>
      </w:r>
      <w:r>
        <w:rPr>
          <w:rFonts w:ascii="仿宋" w:hAnsi="仿宋" w:eastAsia="仿宋" w:cs="仿宋_GB2312"/>
          <w:sz w:val="24"/>
          <w:szCs w:val="24"/>
        </w:rPr>
        <w:t>20</w:t>
      </w:r>
      <w:r>
        <w:rPr>
          <w:rFonts w:hint="eastAsia" w:ascii="仿宋" w:hAnsi="仿宋" w:eastAsia="仿宋" w:cs="仿宋_GB2312"/>
          <w:sz w:val="24"/>
          <w:szCs w:val="24"/>
        </w:rPr>
        <w:t>种人体健康态评估标准；针对不同于疾病医学的健康态信息特点，形成人体健康态信息的规范标准</w:t>
      </w:r>
      <w:r>
        <w:rPr>
          <w:rFonts w:ascii="仿宋" w:hAnsi="仿宋" w:eastAsia="仿宋" w:cs="仿宋_GB2312"/>
          <w:sz w:val="24"/>
          <w:szCs w:val="24"/>
        </w:rPr>
        <w:t>1</w:t>
      </w:r>
      <w:r>
        <w:rPr>
          <w:rFonts w:hint="eastAsia" w:ascii="仿宋" w:hAnsi="仿宋" w:eastAsia="仿宋" w:cs="仿宋_GB2312"/>
          <w:sz w:val="24"/>
          <w:szCs w:val="24"/>
        </w:rPr>
        <w:t>项；形成至少</w:t>
      </w:r>
      <w:r>
        <w:rPr>
          <w:rFonts w:ascii="仿宋" w:hAnsi="仿宋" w:eastAsia="仿宋" w:cs="仿宋_GB2312"/>
          <w:sz w:val="24"/>
          <w:szCs w:val="24"/>
        </w:rPr>
        <w:t>10-20</w:t>
      </w:r>
      <w:r>
        <w:rPr>
          <w:rFonts w:hint="eastAsia" w:ascii="仿宋" w:hAnsi="仿宋" w:eastAsia="仿宋" w:cs="仿宋_GB2312"/>
          <w:sz w:val="24"/>
          <w:szCs w:val="24"/>
        </w:rPr>
        <w:t>项健康产品及评估的标准或规范。</w:t>
      </w:r>
    </w:p>
    <w:p>
      <w:pPr>
        <w:adjustRightInd w:val="0"/>
        <w:snapToGrid w:val="0"/>
        <w:spacing w:before="156" w:beforeLines="50" w:after="156" w:afterLines="50" w:line="360" w:lineRule="auto"/>
        <w:ind w:firstLine="482" w:firstLineChars="200"/>
        <w:rPr>
          <w:rFonts w:ascii="仿宋" w:hAnsi="仿宋" w:eastAsia="仿宋"/>
          <w:sz w:val="24"/>
          <w:szCs w:val="24"/>
        </w:rPr>
      </w:pPr>
      <w:r>
        <w:rPr>
          <w:rFonts w:hint="eastAsia" w:ascii="仿宋" w:hAnsi="仿宋" w:eastAsia="仿宋" w:cs="仿宋_GB2312"/>
          <w:b/>
          <w:bCs/>
          <w:sz w:val="24"/>
          <w:szCs w:val="24"/>
        </w:rPr>
        <w:t>支持年限：</w:t>
      </w:r>
      <w:r>
        <w:rPr>
          <w:rFonts w:ascii="仿宋" w:hAnsi="仿宋" w:eastAsia="仿宋" w:cs="仿宋_GB2312"/>
          <w:sz w:val="24"/>
          <w:szCs w:val="24"/>
        </w:rPr>
        <w:t>201</w:t>
      </w:r>
      <w:r>
        <w:rPr>
          <w:rFonts w:hint="eastAsia" w:ascii="仿宋" w:hAnsi="仿宋" w:eastAsia="仿宋" w:cs="仿宋_GB2312"/>
          <w:sz w:val="24"/>
          <w:szCs w:val="24"/>
        </w:rPr>
        <w:t>8</w:t>
      </w:r>
      <w:r>
        <w:rPr>
          <w:rFonts w:ascii="仿宋" w:hAnsi="仿宋" w:eastAsia="仿宋" w:cs="仿宋_GB2312"/>
          <w:sz w:val="24"/>
          <w:szCs w:val="24"/>
        </w:rPr>
        <w:t>-2022</w:t>
      </w:r>
      <w:r>
        <w:rPr>
          <w:rFonts w:hint="eastAsia" w:ascii="仿宋" w:hAnsi="仿宋" w:eastAsia="仿宋" w:cs="仿宋_GB2312"/>
          <w:sz w:val="24"/>
          <w:szCs w:val="24"/>
        </w:rPr>
        <w:t>年</w:t>
      </w:r>
    </w:p>
    <w:p>
      <w:pPr>
        <w:adjustRightInd w:val="0"/>
        <w:snapToGrid w:val="0"/>
        <w:spacing w:before="156" w:beforeLines="50" w:after="156" w:afterLines="50" w:line="360" w:lineRule="auto"/>
        <w:ind w:firstLine="482" w:firstLineChars="200"/>
        <w:rPr>
          <w:rFonts w:ascii="仿宋" w:hAnsi="仿宋" w:eastAsia="仿宋"/>
          <w:sz w:val="24"/>
          <w:szCs w:val="24"/>
        </w:rPr>
      </w:pPr>
      <w:r>
        <w:rPr>
          <w:rFonts w:hint="eastAsia" w:ascii="仿宋" w:hAnsi="仿宋" w:eastAsia="仿宋" w:cs="仿宋_GB2312"/>
          <w:b/>
          <w:bCs/>
          <w:sz w:val="24"/>
          <w:szCs w:val="24"/>
        </w:rPr>
        <w:t>拟支持项目数：</w:t>
      </w:r>
      <w:r>
        <w:rPr>
          <w:rFonts w:ascii="仿宋" w:hAnsi="仿宋" w:eastAsia="仿宋" w:cs="仿宋_GB2312"/>
          <w:sz w:val="24"/>
          <w:szCs w:val="24"/>
        </w:rPr>
        <w:t>1-2</w:t>
      </w:r>
      <w:r>
        <w:rPr>
          <w:rFonts w:hint="eastAsia" w:ascii="仿宋" w:hAnsi="仿宋" w:eastAsia="仿宋" w:cs="仿宋_GB2312"/>
          <w:sz w:val="24"/>
          <w:szCs w:val="24"/>
        </w:rPr>
        <w:t>项</w:t>
      </w:r>
    </w:p>
    <w:p>
      <w:pPr>
        <w:adjustRightInd w:val="0"/>
        <w:snapToGrid w:val="0"/>
        <w:spacing w:before="156" w:beforeLines="50" w:after="156" w:afterLines="50" w:line="360" w:lineRule="auto"/>
        <w:ind w:firstLine="482" w:firstLineChars="200"/>
        <w:rPr>
          <w:rFonts w:ascii="仿宋" w:hAnsi="仿宋" w:eastAsia="仿宋"/>
          <w:sz w:val="24"/>
          <w:szCs w:val="24"/>
        </w:rPr>
      </w:pPr>
      <w:r>
        <w:rPr>
          <w:rFonts w:hint="eastAsia" w:ascii="仿宋" w:hAnsi="仿宋" w:eastAsia="仿宋" w:cs="仿宋_GB2312"/>
          <w:b/>
          <w:bCs/>
          <w:sz w:val="24"/>
          <w:szCs w:val="24"/>
        </w:rPr>
        <w:t>有关说明：</w:t>
      </w:r>
      <w:r>
        <w:rPr>
          <w:rFonts w:hint="eastAsia" w:ascii="仿宋" w:hAnsi="仿宋" w:eastAsia="仿宋" w:cs="仿宋_GB2312"/>
          <w:sz w:val="24"/>
          <w:szCs w:val="24"/>
        </w:rPr>
        <w:t>国家医疗器械标准化专业机构牵头，科研院所、检测机构参与联合申报。鼓励创新团队、社会团体参与申报或与海外团队合作申报，且具有良好的前期研究基础。其他经费</w:t>
      </w:r>
      <w:r>
        <w:rPr>
          <w:rFonts w:ascii="仿宋" w:hAnsi="仿宋" w:eastAsia="仿宋" w:cs="仿宋_GB2312"/>
          <w:sz w:val="24"/>
          <w:szCs w:val="24"/>
        </w:rPr>
        <w:t>(</w:t>
      </w:r>
      <w:r>
        <w:rPr>
          <w:rFonts w:hint="eastAsia" w:ascii="仿宋" w:hAnsi="仿宋" w:eastAsia="仿宋" w:cs="仿宋_GB2312"/>
          <w:sz w:val="24"/>
          <w:szCs w:val="24"/>
        </w:rPr>
        <w:t>包括地方财政经费、单位出资及社会渠道资金等</w:t>
      </w:r>
      <w:r>
        <w:rPr>
          <w:rFonts w:ascii="仿宋" w:hAnsi="仿宋" w:eastAsia="仿宋" w:cs="仿宋_GB2312"/>
          <w:sz w:val="24"/>
          <w:szCs w:val="24"/>
        </w:rPr>
        <w:t>)</w:t>
      </w:r>
      <w:r>
        <w:rPr>
          <w:rFonts w:hint="eastAsia" w:ascii="仿宋" w:hAnsi="仿宋" w:eastAsia="仿宋" w:cs="仿宋_GB2312"/>
          <w:sz w:val="24"/>
          <w:szCs w:val="24"/>
        </w:rPr>
        <w:t>与中央财政经费比例不低于</w:t>
      </w:r>
      <w:r>
        <w:rPr>
          <w:rFonts w:hint="eastAsia" w:ascii="仿宋" w:hAnsi="仿宋" w:eastAsia="仿宋" w:cs="仿宋_GB2312"/>
          <w:sz w:val="24"/>
          <w:szCs w:val="24"/>
          <w:lang w:val="en-US" w:eastAsia="zh-CN"/>
        </w:rPr>
        <w:t>1</w:t>
      </w:r>
      <w:bookmarkStart w:id="3" w:name="_GoBack"/>
      <w:bookmarkEnd w:id="3"/>
      <w:r>
        <w:rPr>
          <w:rFonts w:ascii="仿宋" w:hAnsi="仿宋" w:eastAsia="仿宋" w:cs="仿宋_GB2312"/>
          <w:sz w:val="24"/>
          <w:szCs w:val="24"/>
        </w:rPr>
        <w:t>:1</w:t>
      </w:r>
      <w:r>
        <w:rPr>
          <w:rFonts w:hint="eastAsia" w:ascii="仿宋" w:hAnsi="仿宋" w:eastAsia="仿宋" w:cs="仿宋_GB2312"/>
          <w:sz w:val="24"/>
          <w:szCs w:val="24"/>
        </w:rPr>
        <w:t>。</w:t>
      </w:r>
    </w:p>
    <w:p>
      <w:pPr>
        <w:adjustRightInd w:val="0"/>
        <w:snapToGrid w:val="0"/>
        <w:spacing w:before="156" w:beforeLines="50" w:after="156" w:afterLines="50" w:line="360" w:lineRule="auto"/>
        <w:ind w:firstLine="470" w:firstLineChars="196"/>
        <w:rPr>
          <w:rFonts w:ascii="仿宋" w:hAnsi="仿宋" w:eastAsia="仿宋"/>
          <w:sz w:val="24"/>
          <w:szCs w:val="24"/>
        </w:rPr>
      </w:pPr>
    </w:p>
    <w:p>
      <w:pPr>
        <w:pStyle w:val="3"/>
        <w:adjustRightInd w:val="0"/>
        <w:snapToGrid w:val="0"/>
        <w:spacing w:before="156" w:beforeLines="50" w:after="156" w:afterLines="50" w:line="360" w:lineRule="auto"/>
        <w:rPr>
          <w:rFonts w:ascii="仿宋" w:hAnsi="仿宋" w:eastAsia="仿宋" w:cs="Times New Roman"/>
          <w:sz w:val="24"/>
          <w:szCs w:val="24"/>
        </w:rPr>
      </w:pPr>
      <w:r>
        <w:rPr>
          <w:rFonts w:ascii="仿宋" w:hAnsi="仿宋" w:eastAsia="仿宋" w:cs="仿宋"/>
          <w:sz w:val="24"/>
          <w:szCs w:val="24"/>
        </w:rPr>
        <w:t xml:space="preserve">2.2 </w:t>
      </w:r>
      <w:r>
        <w:rPr>
          <w:rFonts w:hint="eastAsia" w:ascii="仿宋" w:hAnsi="仿宋" w:eastAsia="仿宋" w:cs="仿宋"/>
          <w:sz w:val="24"/>
          <w:szCs w:val="24"/>
        </w:rPr>
        <w:t>主动健康服务产品开发</w:t>
      </w:r>
    </w:p>
    <w:p>
      <w:pPr>
        <w:pStyle w:val="4"/>
        <w:adjustRightInd w:val="0"/>
        <w:snapToGrid w:val="0"/>
        <w:spacing w:before="156" w:beforeLines="50" w:after="156" w:afterLines="50" w:line="360" w:lineRule="auto"/>
        <w:rPr>
          <w:rFonts w:ascii="仿宋" w:hAnsi="仿宋" w:eastAsia="仿宋"/>
          <w:sz w:val="24"/>
          <w:szCs w:val="24"/>
        </w:rPr>
      </w:pPr>
      <w:r>
        <w:rPr>
          <w:rFonts w:hint="eastAsia" w:ascii="仿宋" w:hAnsi="仿宋" w:eastAsia="仿宋"/>
          <w:sz w:val="24"/>
          <w:szCs w:val="24"/>
        </w:rPr>
        <w:t>2.2.1运动健康随身连续监控</w:t>
      </w:r>
    </w:p>
    <w:p>
      <w:pPr>
        <w:adjustRightInd w:val="0"/>
        <w:snapToGrid w:val="0"/>
        <w:spacing w:before="156" w:beforeLines="50" w:after="156" w:afterLines="50" w:line="360" w:lineRule="auto"/>
        <w:ind w:firstLine="472" w:firstLineChars="196"/>
        <w:rPr>
          <w:rFonts w:ascii="仿宋" w:hAnsi="仿宋" w:eastAsia="仿宋"/>
          <w:sz w:val="24"/>
          <w:szCs w:val="24"/>
        </w:rPr>
      </w:pPr>
      <w:r>
        <w:rPr>
          <w:rFonts w:hint="eastAsia" w:ascii="仿宋" w:hAnsi="仿宋" w:eastAsia="仿宋" w:cs="仿宋_GB2312"/>
          <w:b/>
          <w:bCs/>
          <w:sz w:val="24"/>
          <w:szCs w:val="24"/>
        </w:rPr>
        <w:t>研究内容：</w:t>
      </w:r>
      <w:r>
        <w:rPr>
          <w:rFonts w:hint="eastAsia" w:ascii="仿宋" w:hAnsi="仿宋" w:eastAsia="仿宋" w:cs="仿宋_GB2312"/>
          <w:sz w:val="24"/>
          <w:szCs w:val="24"/>
        </w:rPr>
        <w:t>研究新型织物材料与人体相互作用的力学与热生理模型；研究适用于老年群体的仿生自调节运动机理；研究与老年运动健康设备安全性、可靠性和舒适性基础参数相关的检测方法和标准。研发基于智能电子织物的穿戴式姿态监测、疲劳提醒、损伤预警和体能增强核心模块；开发具有步态调控和运动防护等功能的运动健康随身监控系统。</w:t>
      </w:r>
    </w:p>
    <w:p>
      <w:pPr>
        <w:pStyle w:val="17"/>
        <w:snapToGrid w:val="0"/>
        <w:spacing w:before="156" w:beforeLines="50" w:after="156" w:afterLines="50" w:line="360" w:lineRule="auto"/>
        <w:ind w:firstLine="420"/>
        <w:rPr>
          <w:rFonts w:ascii="仿宋" w:hAnsi="仿宋" w:eastAsia="仿宋"/>
        </w:rPr>
      </w:pPr>
      <w:r>
        <w:rPr>
          <w:rFonts w:hint="eastAsia" w:ascii="仿宋" w:hAnsi="仿宋" w:eastAsia="仿宋" w:cs="仿宋_GB2312"/>
          <w:b/>
          <w:bCs/>
        </w:rPr>
        <w:t>考核指标：</w:t>
      </w:r>
      <w:r>
        <w:rPr>
          <w:rFonts w:hint="eastAsia" w:ascii="仿宋" w:hAnsi="仿宋" w:eastAsia="仿宋" w:cs="仿宋_GB2312"/>
        </w:rPr>
        <w:t>提供</w:t>
      </w:r>
      <w:r>
        <w:rPr>
          <w:rFonts w:ascii="仿宋" w:hAnsi="仿宋" w:eastAsia="仿宋" w:cs="仿宋_GB2312"/>
        </w:rPr>
        <w:t>3</w:t>
      </w:r>
      <w:r>
        <w:rPr>
          <w:rFonts w:hint="eastAsia" w:ascii="仿宋" w:hAnsi="仿宋" w:eastAsia="仿宋" w:cs="仿宋_GB2312"/>
        </w:rPr>
        <w:t>种新型电子织物的力学与热生理优化设计模型和穿戴试样。低压力传感织物最大迟滞误差小于</w:t>
      </w:r>
      <w:r>
        <w:rPr>
          <w:rFonts w:ascii="仿宋" w:hAnsi="仿宋" w:eastAsia="仿宋" w:cs="仿宋_GB2312"/>
        </w:rPr>
        <w:t>7%</w:t>
      </w:r>
      <w:r>
        <w:rPr>
          <w:rFonts w:hint="eastAsia" w:ascii="仿宋" w:hAnsi="仿宋" w:eastAsia="仿宋" w:cs="仿宋_GB2312"/>
        </w:rPr>
        <w:t>；拉伸传感织物在拉伸</w:t>
      </w:r>
      <w:r>
        <w:rPr>
          <w:rFonts w:ascii="仿宋" w:hAnsi="仿宋" w:eastAsia="仿宋" w:cs="仿宋_GB2312"/>
        </w:rPr>
        <w:t>60%</w:t>
      </w:r>
      <w:r>
        <w:rPr>
          <w:rFonts w:hint="eastAsia" w:ascii="仿宋" w:hAnsi="仿宋" w:eastAsia="仿宋" w:cs="仿宋_GB2312"/>
        </w:rPr>
        <w:t>时非线性误差小于</w:t>
      </w:r>
      <w:r>
        <w:rPr>
          <w:rFonts w:ascii="仿宋" w:hAnsi="仿宋" w:eastAsia="仿宋" w:cs="仿宋_GB2312"/>
        </w:rPr>
        <w:t>5%</w:t>
      </w:r>
      <w:r>
        <w:rPr>
          <w:rFonts w:hint="eastAsia" w:ascii="仿宋" w:hAnsi="仿宋" w:eastAsia="仿宋" w:cs="仿宋_GB2312"/>
        </w:rPr>
        <w:t>；织物肌电电极的表面电阻小于</w:t>
      </w:r>
      <w:r>
        <w:rPr>
          <w:rFonts w:ascii="仿宋" w:hAnsi="仿宋" w:eastAsia="仿宋" w:cs="仿宋_GB2312"/>
        </w:rPr>
        <w:t>2</w:t>
      </w:r>
      <w:r>
        <w:rPr>
          <w:rFonts w:hint="eastAsia" w:ascii="仿宋" w:hAnsi="仿宋" w:eastAsia="仿宋" w:cs="仿宋_GB2312"/>
        </w:rPr>
        <w:t>Ω，电极噪声小于</w:t>
      </w:r>
      <w:r>
        <w:rPr>
          <w:rFonts w:ascii="仿宋" w:hAnsi="仿宋" w:eastAsia="仿宋" w:cs="仿宋_GB2312"/>
        </w:rPr>
        <w:t>0.25mV</w:t>
      </w:r>
      <w:r>
        <w:rPr>
          <w:rFonts w:hint="eastAsia" w:ascii="仿宋" w:hAnsi="仿宋" w:eastAsia="仿宋" w:cs="仿宋_GB2312"/>
        </w:rPr>
        <w:t>；纤维基电驱动复合织物的能量密度大于</w:t>
      </w:r>
      <w:r>
        <w:rPr>
          <w:rFonts w:ascii="仿宋" w:hAnsi="仿宋" w:eastAsia="仿宋" w:cs="仿宋_GB2312"/>
        </w:rPr>
        <w:t>1.2kJ/m</w:t>
      </w:r>
      <w:r>
        <w:rPr>
          <w:rFonts w:ascii="仿宋" w:hAnsi="仿宋" w:eastAsia="仿宋" w:cs="仿宋_GB2312"/>
          <w:vertAlign w:val="superscript"/>
        </w:rPr>
        <w:t>3</w:t>
      </w:r>
      <w:r>
        <w:rPr>
          <w:rFonts w:hint="eastAsia" w:ascii="仿宋" w:hAnsi="仿宋" w:eastAsia="仿宋" w:cs="仿宋_GB2312"/>
        </w:rPr>
        <w:t>。步态调控的综合运动能效提升</w:t>
      </w:r>
      <w:r>
        <w:rPr>
          <w:rFonts w:ascii="仿宋" w:hAnsi="仿宋" w:eastAsia="仿宋" w:cs="仿宋_GB2312"/>
        </w:rPr>
        <w:t>10%</w:t>
      </w:r>
      <w:r>
        <w:rPr>
          <w:rFonts w:hint="eastAsia" w:ascii="仿宋" w:hAnsi="仿宋" w:eastAsia="仿宋" w:cs="仿宋_GB2312"/>
        </w:rPr>
        <w:t>。申请</w:t>
      </w:r>
      <w:r>
        <w:rPr>
          <w:rFonts w:ascii="仿宋" w:hAnsi="仿宋" w:eastAsia="仿宋" w:cs="仿宋_GB2312"/>
        </w:rPr>
        <w:t>/</w:t>
      </w:r>
      <w:r>
        <w:rPr>
          <w:rFonts w:hint="eastAsia" w:ascii="仿宋" w:hAnsi="仿宋" w:eastAsia="仿宋" w:cs="仿宋_GB2312"/>
        </w:rPr>
        <w:t>获得发明专利不少于</w:t>
      </w:r>
      <w:r>
        <w:rPr>
          <w:rFonts w:ascii="仿宋" w:hAnsi="仿宋" w:eastAsia="仿宋" w:cs="仿宋_GB2312"/>
        </w:rPr>
        <w:t>15</w:t>
      </w:r>
      <w:r>
        <w:rPr>
          <w:rFonts w:hint="eastAsia" w:ascii="仿宋" w:hAnsi="仿宋" w:eastAsia="仿宋" w:cs="仿宋_GB2312"/>
        </w:rPr>
        <w:t>项，获得穿戴式步行器等医疗器械注册证</w:t>
      </w:r>
      <w:r>
        <w:rPr>
          <w:rFonts w:ascii="仿宋" w:hAnsi="仿宋" w:eastAsia="仿宋" w:cs="仿宋_GB2312"/>
        </w:rPr>
        <w:t>3</w:t>
      </w:r>
      <w:r>
        <w:rPr>
          <w:rFonts w:hint="eastAsia" w:ascii="仿宋" w:hAnsi="仿宋" w:eastAsia="仿宋" w:cs="仿宋_GB2312"/>
        </w:rPr>
        <w:t>个。</w:t>
      </w:r>
    </w:p>
    <w:p>
      <w:pPr>
        <w:adjustRightInd w:val="0"/>
        <w:snapToGrid w:val="0"/>
        <w:spacing w:before="156" w:beforeLines="50" w:after="156" w:afterLines="50" w:line="360" w:lineRule="auto"/>
        <w:ind w:firstLine="472" w:firstLineChars="196"/>
        <w:rPr>
          <w:rFonts w:ascii="仿宋" w:hAnsi="仿宋" w:eastAsia="仿宋"/>
          <w:b/>
          <w:bCs/>
          <w:sz w:val="24"/>
          <w:szCs w:val="24"/>
        </w:rPr>
      </w:pPr>
      <w:r>
        <w:rPr>
          <w:rFonts w:hint="eastAsia" w:ascii="仿宋" w:hAnsi="仿宋" w:eastAsia="仿宋" w:cs="仿宋_GB2312"/>
          <w:b/>
          <w:bCs/>
          <w:sz w:val="24"/>
          <w:szCs w:val="24"/>
        </w:rPr>
        <w:t>支持年限：</w:t>
      </w:r>
      <w:r>
        <w:rPr>
          <w:rFonts w:ascii="仿宋" w:hAnsi="仿宋" w:eastAsia="仿宋" w:cs="仿宋_GB2312"/>
          <w:sz w:val="24"/>
          <w:szCs w:val="24"/>
        </w:rPr>
        <w:t>2018-202</w:t>
      </w:r>
      <w:r>
        <w:rPr>
          <w:rFonts w:hint="eastAsia" w:ascii="仿宋" w:hAnsi="仿宋" w:eastAsia="仿宋" w:cs="仿宋_GB2312"/>
          <w:sz w:val="24"/>
          <w:szCs w:val="24"/>
        </w:rPr>
        <w:t>2年</w:t>
      </w:r>
    </w:p>
    <w:p>
      <w:pPr>
        <w:adjustRightInd w:val="0"/>
        <w:snapToGrid w:val="0"/>
        <w:spacing w:before="156" w:beforeLines="50" w:after="156" w:afterLines="50" w:line="360" w:lineRule="auto"/>
        <w:ind w:firstLine="472" w:firstLineChars="196"/>
        <w:rPr>
          <w:rFonts w:ascii="仿宋" w:hAnsi="仿宋" w:eastAsia="仿宋"/>
          <w:b/>
          <w:bCs/>
          <w:sz w:val="24"/>
          <w:szCs w:val="24"/>
        </w:rPr>
      </w:pPr>
      <w:r>
        <w:rPr>
          <w:rFonts w:hint="eastAsia" w:ascii="仿宋" w:hAnsi="仿宋" w:eastAsia="仿宋" w:cs="仿宋_GB2312"/>
          <w:b/>
          <w:bCs/>
          <w:sz w:val="24"/>
          <w:szCs w:val="24"/>
        </w:rPr>
        <w:t>拟支持项目数：</w:t>
      </w:r>
      <w:r>
        <w:rPr>
          <w:rFonts w:ascii="仿宋" w:hAnsi="仿宋" w:eastAsia="仿宋" w:cs="仿宋_GB2312"/>
          <w:sz w:val="24"/>
          <w:szCs w:val="24"/>
        </w:rPr>
        <w:t>1-2</w:t>
      </w:r>
      <w:r>
        <w:rPr>
          <w:rFonts w:hint="eastAsia" w:ascii="仿宋" w:hAnsi="仿宋" w:eastAsia="仿宋" w:cs="仿宋_GB2312"/>
          <w:sz w:val="24"/>
          <w:szCs w:val="24"/>
        </w:rPr>
        <w:t>项</w:t>
      </w:r>
    </w:p>
    <w:p>
      <w:pPr>
        <w:adjustRightInd w:val="0"/>
        <w:snapToGrid w:val="0"/>
        <w:spacing w:before="156" w:beforeLines="50" w:after="156" w:afterLines="50" w:line="360" w:lineRule="auto"/>
        <w:ind w:firstLine="472" w:firstLineChars="196"/>
        <w:rPr>
          <w:rFonts w:ascii="仿宋" w:hAnsi="仿宋" w:eastAsia="仿宋" w:cs="仿宋_GB2312"/>
          <w:sz w:val="24"/>
          <w:szCs w:val="24"/>
        </w:rPr>
      </w:pPr>
      <w:r>
        <w:rPr>
          <w:rFonts w:hint="eastAsia" w:ascii="仿宋" w:hAnsi="仿宋" w:eastAsia="仿宋" w:cs="仿宋_GB2312"/>
          <w:b/>
          <w:bCs/>
          <w:sz w:val="24"/>
          <w:szCs w:val="24"/>
        </w:rPr>
        <w:t>有关说明：</w:t>
      </w:r>
      <w:r>
        <w:rPr>
          <w:rFonts w:hint="eastAsia" w:ascii="仿宋" w:hAnsi="仿宋" w:eastAsia="仿宋" w:cs="仿宋_GB2312"/>
          <w:sz w:val="24"/>
          <w:szCs w:val="24"/>
        </w:rPr>
        <w:t>其他经费（包括地方财政经费、单位出资及社会渠道资金等）与中央财政经费比例不低于3</w:t>
      </w:r>
      <w:r>
        <w:rPr>
          <w:rFonts w:ascii="仿宋" w:hAnsi="仿宋" w:eastAsia="仿宋" w:cs="仿宋_GB2312"/>
          <w:sz w:val="24"/>
          <w:szCs w:val="24"/>
        </w:rPr>
        <w:t>:1</w:t>
      </w:r>
      <w:r>
        <w:rPr>
          <w:rFonts w:hint="eastAsia" w:ascii="仿宋" w:hAnsi="仿宋" w:eastAsia="仿宋" w:cs="仿宋_GB2312"/>
          <w:sz w:val="24"/>
          <w:szCs w:val="24"/>
        </w:rPr>
        <w:t>。</w:t>
      </w:r>
    </w:p>
    <w:p>
      <w:pPr>
        <w:pStyle w:val="4"/>
        <w:adjustRightInd w:val="0"/>
        <w:snapToGrid w:val="0"/>
        <w:spacing w:before="156" w:beforeLines="50" w:after="156" w:afterLines="50" w:line="360" w:lineRule="auto"/>
        <w:rPr>
          <w:rFonts w:ascii="仿宋" w:hAnsi="仿宋" w:eastAsia="仿宋"/>
          <w:sz w:val="24"/>
          <w:szCs w:val="24"/>
        </w:rPr>
      </w:pPr>
      <w:r>
        <w:rPr>
          <w:rFonts w:hint="eastAsia" w:ascii="仿宋" w:hAnsi="仿宋" w:eastAsia="仿宋"/>
          <w:sz w:val="24"/>
          <w:szCs w:val="24"/>
        </w:rPr>
        <w:t>2.2.2穿戴式血糖监控与糖尿病管理</w:t>
      </w:r>
    </w:p>
    <w:p>
      <w:pPr>
        <w:adjustRightInd w:val="0"/>
        <w:snapToGrid w:val="0"/>
        <w:spacing w:before="156" w:beforeLines="50" w:after="156" w:afterLines="50" w:line="360" w:lineRule="auto"/>
        <w:ind w:firstLine="472" w:firstLineChars="196"/>
        <w:rPr>
          <w:rFonts w:ascii="仿宋" w:hAnsi="仿宋" w:eastAsia="仿宋"/>
          <w:sz w:val="24"/>
          <w:szCs w:val="24"/>
        </w:rPr>
      </w:pPr>
      <w:r>
        <w:rPr>
          <w:rFonts w:hint="eastAsia" w:ascii="仿宋" w:hAnsi="仿宋" w:eastAsia="仿宋" w:cs="仿宋_GB2312"/>
          <w:b/>
          <w:bCs/>
          <w:sz w:val="24"/>
          <w:szCs w:val="24"/>
        </w:rPr>
        <w:t>研究内容：</w:t>
      </w:r>
      <w:r>
        <w:rPr>
          <w:rFonts w:hint="eastAsia" w:ascii="仿宋" w:hAnsi="仿宋" w:eastAsia="仿宋" w:cs="仿宋_GB2312"/>
          <w:sz w:val="24"/>
          <w:szCs w:val="24"/>
        </w:rPr>
        <w:t>重点研发基于无创、植入、微创葡萄糖传感器的穿戴式连续动态血糖检测和电磁场等非药物调控设备，开展人体糖代谢功能健康评估和糖尿病及其并发症早期诊断和低血糖风险预测方法的研究，开展个性化血糖调控方案和糖尿病及并发症慢病管理的研究。</w:t>
      </w:r>
    </w:p>
    <w:p>
      <w:pPr>
        <w:adjustRightInd w:val="0"/>
        <w:snapToGrid w:val="0"/>
        <w:spacing w:before="156" w:beforeLines="50" w:after="156" w:afterLines="50" w:line="360" w:lineRule="auto"/>
        <w:ind w:firstLine="472" w:firstLineChars="196"/>
        <w:rPr>
          <w:rFonts w:ascii="仿宋" w:hAnsi="仿宋" w:eastAsia="仿宋"/>
          <w:b/>
          <w:bCs/>
          <w:sz w:val="24"/>
          <w:szCs w:val="24"/>
        </w:rPr>
      </w:pPr>
      <w:r>
        <w:rPr>
          <w:rFonts w:hint="eastAsia" w:ascii="仿宋" w:hAnsi="仿宋" w:eastAsia="仿宋" w:cs="仿宋_GB2312"/>
          <w:b/>
          <w:bCs/>
          <w:sz w:val="24"/>
          <w:szCs w:val="24"/>
        </w:rPr>
        <w:t>考核指标：</w:t>
      </w:r>
      <w:r>
        <w:rPr>
          <w:rFonts w:hint="eastAsia" w:ascii="仿宋" w:hAnsi="仿宋" w:eastAsia="仿宋" w:cs="仿宋_GB2312"/>
          <w:sz w:val="24"/>
          <w:szCs w:val="24"/>
        </w:rPr>
        <w:t>建立基于无创、植入动态实时血糖浓度的量化与参照的技术规范和标准体系。无创血糖传感器舒适可靠，可连续动态监测；植入式葡萄糖传感器寿命不低于15天，研发新型血糖浓度动态检测与调控系统；低血糖风险预测时间须提前30分钟，准确率不低于90%；实现血糖动态实时检测结果的变化趋势与常规指尖采血一致性达到90%以上，研究成果获得发明专利不少于15项，获得动态血糖监测系统/实时动态血糖监测系统等医疗器械注册证3个。</w:t>
      </w:r>
    </w:p>
    <w:p>
      <w:pPr>
        <w:adjustRightInd w:val="0"/>
        <w:snapToGrid w:val="0"/>
        <w:spacing w:before="156" w:beforeLines="50" w:after="156" w:afterLines="50" w:line="360" w:lineRule="auto"/>
        <w:ind w:firstLine="472" w:firstLineChars="196"/>
        <w:rPr>
          <w:rFonts w:ascii="仿宋" w:hAnsi="仿宋" w:eastAsia="仿宋"/>
          <w:b/>
          <w:bCs/>
          <w:sz w:val="24"/>
          <w:szCs w:val="24"/>
        </w:rPr>
      </w:pPr>
      <w:r>
        <w:rPr>
          <w:rFonts w:hint="eastAsia" w:ascii="仿宋" w:hAnsi="仿宋" w:eastAsia="仿宋" w:cs="仿宋_GB2312"/>
          <w:b/>
          <w:bCs/>
          <w:sz w:val="24"/>
          <w:szCs w:val="24"/>
        </w:rPr>
        <w:t>支持年限：</w:t>
      </w:r>
      <w:r>
        <w:rPr>
          <w:rFonts w:ascii="仿宋" w:hAnsi="仿宋" w:eastAsia="仿宋" w:cs="仿宋_GB2312"/>
          <w:sz w:val="24"/>
          <w:szCs w:val="24"/>
        </w:rPr>
        <w:t>201</w:t>
      </w:r>
      <w:r>
        <w:rPr>
          <w:rFonts w:hint="eastAsia" w:ascii="仿宋" w:hAnsi="仿宋" w:eastAsia="仿宋" w:cs="仿宋_GB2312"/>
          <w:sz w:val="24"/>
          <w:szCs w:val="24"/>
        </w:rPr>
        <w:t>8</w:t>
      </w:r>
      <w:r>
        <w:rPr>
          <w:rFonts w:ascii="仿宋" w:hAnsi="仿宋" w:eastAsia="仿宋" w:cs="仿宋_GB2312"/>
          <w:sz w:val="24"/>
          <w:szCs w:val="24"/>
        </w:rPr>
        <w:t>-2022</w:t>
      </w:r>
      <w:r>
        <w:rPr>
          <w:rFonts w:hint="eastAsia" w:ascii="仿宋" w:hAnsi="仿宋" w:eastAsia="仿宋" w:cs="仿宋_GB2312"/>
          <w:sz w:val="24"/>
          <w:szCs w:val="24"/>
        </w:rPr>
        <w:t>年</w:t>
      </w:r>
    </w:p>
    <w:p>
      <w:pPr>
        <w:adjustRightInd w:val="0"/>
        <w:snapToGrid w:val="0"/>
        <w:spacing w:before="156" w:beforeLines="50" w:after="156" w:afterLines="50" w:line="360" w:lineRule="auto"/>
        <w:ind w:firstLine="472" w:firstLineChars="196"/>
        <w:rPr>
          <w:rFonts w:ascii="仿宋" w:hAnsi="仿宋" w:eastAsia="仿宋"/>
          <w:b/>
          <w:bCs/>
          <w:sz w:val="24"/>
          <w:szCs w:val="24"/>
        </w:rPr>
      </w:pPr>
      <w:r>
        <w:rPr>
          <w:rFonts w:hint="eastAsia" w:ascii="仿宋" w:hAnsi="仿宋" w:eastAsia="仿宋" w:cs="仿宋_GB2312"/>
          <w:b/>
          <w:bCs/>
          <w:sz w:val="24"/>
          <w:szCs w:val="24"/>
        </w:rPr>
        <w:t>拟支持项目数：</w:t>
      </w:r>
      <w:r>
        <w:rPr>
          <w:rFonts w:ascii="仿宋" w:hAnsi="仿宋" w:eastAsia="仿宋" w:cs="仿宋_GB2312"/>
          <w:sz w:val="24"/>
          <w:szCs w:val="24"/>
        </w:rPr>
        <w:t>1-2</w:t>
      </w:r>
      <w:r>
        <w:rPr>
          <w:rFonts w:hint="eastAsia" w:ascii="仿宋" w:hAnsi="仿宋" w:eastAsia="仿宋" w:cs="仿宋_GB2312"/>
          <w:sz w:val="24"/>
          <w:szCs w:val="24"/>
        </w:rPr>
        <w:t>项</w:t>
      </w:r>
    </w:p>
    <w:p>
      <w:pPr>
        <w:adjustRightInd w:val="0"/>
        <w:snapToGrid w:val="0"/>
        <w:spacing w:before="156" w:beforeLines="50" w:after="156" w:afterLines="50" w:line="360" w:lineRule="auto"/>
        <w:ind w:firstLine="472" w:firstLineChars="196"/>
        <w:rPr>
          <w:rFonts w:ascii="仿宋" w:hAnsi="仿宋" w:eastAsia="仿宋"/>
          <w:sz w:val="24"/>
          <w:szCs w:val="24"/>
        </w:rPr>
      </w:pPr>
      <w:r>
        <w:rPr>
          <w:rFonts w:hint="eastAsia" w:ascii="仿宋" w:hAnsi="仿宋" w:eastAsia="仿宋" w:cs="仿宋_GB2312"/>
          <w:b/>
          <w:bCs/>
          <w:sz w:val="24"/>
          <w:szCs w:val="24"/>
        </w:rPr>
        <w:t>有关说明：</w:t>
      </w:r>
      <w:r>
        <w:rPr>
          <w:rFonts w:hint="eastAsia" w:ascii="仿宋" w:hAnsi="仿宋" w:eastAsia="仿宋" w:cs="仿宋_GB2312"/>
          <w:sz w:val="24"/>
          <w:szCs w:val="24"/>
        </w:rPr>
        <w:t>其他经费（包括地方财政经费、单位出资及社会渠道资金等）与中央财政经费比例不低于3</w:t>
      </w:r>
      <w:r>
        <w:rPr>
          <w:rFonts w:ascii="仿宋" w:hAnsi="仿宋" w:eastAsia="仿宋" w:cs="仿宋_GB2312"/>
          <w:sz w:val="24"/>
          <w:szCs w:val="24"/>
        </w:rPr>
        <w:t>:1</w:t>
      </w:r>
      <w:r>
        <w:rPr>
          <w:rFonts w:hint="eastAsia" w:ascii="仿宋" w:hAnsi="仿宋" w:eastAsia="仿宋" w:cs="仿宋_GB2312"/>
          <w:sz w:val="24"/>
          <w:szCs w:val="24"/>
        </w:rPr>
        <w:t>。</w:t>
      </w:r>
    </w:p>
    <w:p>
      <w:pPr>
        <w:adjustRightInd w:val="0"/>
        <w:snapToGrid w:val="0"/>
        <w:spacing w:before="156" w:beforeLines="50" w:after="156" w:afterLines="50" w:line="360" w:lineRule="auto"/>
        <w:ind w:firstLine="470" w:firstLineChars="196"/>
        <w:rPr>
          <w:rFonts w:ascii="仿宋" w:hAnsi="仿宋" w:eastAsia="仿宋"/>
          <w:sz w:val="24"/>
          <w:szCs w:val="24"/>
        </w:rPr>
      </w:pPr>
    </w:p>
    <w:p>
      <w:pPr>
        <w:pStyle w:val="4"/>
        <w:adjustRightInd w:val="0"/>
        <w:snapToGrid w:val="0"/>
        <w:spacing w:before="156" w:beforeLines="50" w:after="156" w:afterLines="50" w:line="360" w:lineRule="auto"/>
        <w:rPr>
          <w:rFonts w:ascii="仿宋" w:hAnsi="仿宋" w:eastAsia="仿宋"/>
          <w:sz w:val="24"/>
          <w:szCs w:val="24"/>
        </w:rPr>
      </w:pPr>
      <w:r>
        <w:rPr>
          <w:rFonts w:hint="eastAsia" w:ascii="仿宋" w:hAnsi="仿宋" w:eastAsia="仿宋"/>
          <w:sz w:val="24"/>
          <w:szCs w:val="24"/>
        </w:rPr>
        <w:t>2.2.3穿戴式心脏健康监测与干预</w:t>
      </w:r>
    </w:p>
    <w:p>
      <w:pPr>
        <w:adjustRightInd w:val="0"/>
        <w:snapToGrid w:val="0"/>
        <w:spacing w:before="156" w:beforeLines="50" w:after="156" w:afterLines="50" w:line="360" w:lineRule="auto"/>
        <w:ind w:firstLine="472" w:firstLineChars="196"/>
        <w:rPr>
          <w:rFonts w:ascii="仿宋" w:hAnsi="仿宋" w:eastAsia="仿宋"/>
          <w:b/>
          <w:bCs/>
          <w:sz w:val="24"/>
          <w:szCs w:val="24"/>
        </w:rPr>
      </w:pPr>
      <w:r>
        <w:rPr>
          <w:rFonts w:hint="eastAsia" w:ascii="仿宋" w:hAnsi="仿宋" w:eastAsia="仿宋" w:cs="仿宋_GB2312"/>
          <w:b/>
          <w:bCs/>
          <w:sz w:val="24"/>
          <w:szCs w:val="24"/>
        </w:rPr>
        <w:t>研究内容：</w:t>
      </w:r>
      <w:r>
        <w:rPr>
          <w:rFonts w:hint="eastAsia" w:ascii="仿宋" w:hAnsi="仿宋" w:eastAsia="仿宋" w:cs="仿宋_GB2312"/>
          <w:sz w:val="24"/>
          <w:szCs w:val="24"/>
        </w:rPr>
        <w:t>重点研发用于心功能分析与监测的穿戴式心电、心动和心输出量等检测设备，开展心脏健康状态评估及心肌缺血症、冠心病、心衰等临床疾病的早期诊断和心源性猝死风险预测方法的研究，开展降低心脏负荷、改善重要脏器灌注的血液循环重建干预方案的研究。</w:t>
      </w:r>
    </w:p>
    <w:p>
      <w:pPr>
        <w:adjustRightInd w:val="0"/>
        <w:snapToGrid w:val="0"/>
        <w:spacing w:before="156" w:beforeLines="50" w:after="156" w:afterLines="50" w:line="360" w:lineRule="auto"/>
        <w:ind w:firstLine="472" w:firstLineChars="196"/>
        <w:rPr>
          <w:rFonts w:ascii="仿宋" w:hAnsi="仿宋" w:eastAsia="仿宋"/>
          <w:sz w:val="24"/>
          <w:szCs w:val="24"/>
        </w:rPr>
      </w:pPr>
      <w:r>
        <w:rPr>
          <w:rFonts w:hint="eastAsia" w:ascii="仿宋" w:hAnsi="仿宋" w:eastAsia="仿宋" w:cs="仿宋_GB2312"/>
          <w:b/>
          <w:bCs/>
          <w:sz w:val="24"/>
          <w:szCs w:val="24"/>
        </w:rPr>
        <w:t>考核指标：</w:t>
      </w:r>
      <w:r>
        <w:rPr>
          <w:rFonts w:hint="eastAsia" w:ascii="仿宋" w:hAnsi="仿宋" w:eastAsia="仿宋" w:cs="仿宋_GB2312"/>
          <w:sz w:val="24"/>
          <w:szCs w:val="24"/>
        </w:rPr>
        <w:t>穿戴式心脏健康监测产品能够实现远程移动数据采集，电源续航力不少于48小时，舒适可靠；构建不少于4种临床心脏疾病早期诊断和心源性猝死预警模型，心肌缺血特征分析识别误差＜10%；心源性猝死风险因子预警检出误差＜30%；房颤特征分析识别误差＜10%，心律异常分类识别误差＜3%。研究成果申请/获得发明专利不少于20项，获得相关产品的医疗器械注册证4个。</w:t>
      </w:r>
    </w:p>
    <w:p>
      <w:pPr>
        <w:adjustRightInd w:val="0"/>
        <w:snapToGrid w:val="0"/>
        <w:spacing w:before="156" w:beforeLines="50" w:after="156" w:afterLines="50" w:line="360" w:lineRule="auto"/>
        <w:ind w:firstLine="472" w:firstLineChars="196"/>
        <w:rPr>
          <w:rFonts w:ascii="仿宋" w:hAnsi="仿宋" w:eastAsia="仿宋"/>
          <w:b/>
          <w:bCs/>
          <w:sz w:val="24"/>
          <w:szCs w:val="24"/>
        </w:rPr>
      </w:pPr>
      <w:r>
        <w:rPr>
          <w:rFonts w:hint="eastAsia" w:ascii="仿宋" w:hAnsi="仿宋" w:eastAsia="仿宋" w:cs="仿宋_GB2312"/>
          <w:b/>
          <w:bCs/>
          <w:sz w:val="24"/>
          <w:szCs w:val="24"/>
        </w:rPr>
        <w:t>支持年限：</w:t>
      </w:r>
      <w:r>
        <w:rPr>
          <w:rFonts w:ascii="仿宋" w:hAnsi="仿宋" w:eastAsia="仿宋" w:cs="仿宋_GB2312"/>
          <w:sz w:val="24"/>
          <w:szCs w:val="24"/>
        </w:rPr>
        <w:t>201</w:t>
      </w:r>
      <w:r>
        <w:rPr>
          <w:rFonts w:hint="eastAsia" w:ascii="仿宋" w:hAnsi="仿宋" w:eastAsia="仿宋" w:cs="仿宋_GB2312"/>
          <w:sz w:val="24"/>
          <w:szCs w:val="24"/>
        </w:rPr>
        <w:t>8</w:t>
      </w:r>
      <w:r>
        <w:rPr>
          <w:rFonts w:ascii="仿宋" w:hAnsi="仿宋" w:eastAsia="仿宋" w:cs="仿宋_GB2312"/>
          <w:sz w:val="24"/>
          <w:szCs w:val="24"/>
        </w:rPr>
        <w:t>-2022</w:t>
      </w:r>
      <w:r>
        <w:rPr>
          <w:rFonts w:hint="eastAsia" w:ascii="仿宋" w:hAnsi="仿宋" w:eastAsia="仿宋" w:cs="仿宋_GB2312"/>
          <w:sz w:val="24"/>
          <w:szCs w:val="24"/>
        </w:rPr>
        <w:t>年</w:t>
      </w:r>
    </w:p>
    <w:p>
      <w:pPr>
        <w:adjustRightInd w:val="0"/>
        <w:snapToGrid w:val="0"/>
        <w:spacing w:before="156" w:beforeLines="50" w:after="156" w:afterLines="50" w:line="360" w:lineRule="auto"/>
        <w:ind w:firstLine="472" w:firstLineChars="196"/>
        <w:rPr>
          <w:rFonts w:ascii="仿宋" w:hAnsi="仿宋" w:eastAsia="仿宋"/>
          <w:b/>
          <w:bCs/>
          <w:sz w:val="24"/>
          <w:szCs w:val="24"/>
        </w:rPr>
      </w:pPr>
      <w:r>
        <w:rPr>
          <w:rFonts w:hint="eastAsia" w:ascii="仿宋" w:hAnsi="仿宋" w:eastAsia="仿宋" w:cs="仿宋_GB2312"/>
          <w:b/>
          <w:bCs/>
          <w:sz w:val="24"/>
          <w:szCs w:val="24"/>
        </w:rPr>
        <w:t>拟支持项目数：</w:t>
      </w:r>
      <w:r>
        <w:rPr>
          <w:rFonts w:ascii="仿宋" w:hAnsi="仿宋" w:eastAsia="仿宋" w:cs="仿宋_GB2312"/>
          <w:sz w:val="24"/>
          <w:szCs w:val="24"/>
        </w:rPr>
        <w:t>1-2</w:t>
      </w:r>
      <w:r>
        <w:rPr>
          <w:rFonts w:hint="eastAsia" w:ascii="仿宋" w:hAnsi="仿宋" w:eastAsia="仿宋" w:cs="仿宋_GB2312"/>
          <w:sz w:val="24"/>
          <w:szCs w:val="24"/>
        </w:rPr>
        <w:t>项</w:t>
      </w:r>
    </w:p>
    <w:p>
      <w:pPr>
        <w:adjustRightInd w:val="0"/>
        <w:snapToGrid w:val="0"/>
        <w:spacing w:before="156" w:beforeLines="50" w:after="156" w:afterLines="50" w:line="360" w:lineRule="auto"/>
        <w:ind w:firstLine="472" w:firstLineChars="196"/>
        <w:rPr>
          <w:rFonts w:ascii="仿宋" w:hAnsi="仿宋" w:eastAsia="仿宋" w:cs="仿宋_GB2312"/>
          <w:sz w:val="24"/>
          <w:szCs w:val="24"/>
        </w:rPr>
      </w:pPr>
      <w:r>
        <w:rPr>
          <w:rFonts w:hint="eastAsia" w:ascii="仿宋" w:hAnsi="仿宋" w:eastAsia="仿宋" w:cs="仿宋_GB2312"/>
          <w:b/>
          <w:bCs/>
          <w:sz w:val="24"/>
          <w:szCs w:val="24"/>
        </w:rPr>
        <w:t>有关说明：</w:t>
      </w:r>
      <w:r>
        <w:rPr>
          <w:rFonts w:hint="eastAsia" w:ascii="仿宋" w:hAnsi="仿宋" w:eastAsia="仿宋" w:cs="仿宋_GB2312"/>
          <w:sz w:val="24"/>
          <w:szCs w:val="24"/>
        </w:rPr>
        <w:t>其他经费（包括地方财政经费、单位出资及社会渠道资金等）与中央财政经费比例不低于3</w:t>
      </w:r>
      <w:r>
        <w:rPr>
          <w:rFonts w:ascii="仿宋" w:hAnsi="仿宋" w:eastAsia="仿宋" w:cs="仿宋_GB2312"/>
          <w:sz w:val="24"/>
          <w:szCs w:val="24"/>
        </w:rPr>
        <w:t>:1</w:t>
      </w:r>
      <w:r>
        <w:rPr>
          <w:rFonts w:hint="eastAsia" w:ascii="仿宋" w:hAnsi="仿宋" w:eastAsia="仿宋" w:cs="仿宋_GB2312"/>
          <w:sz w:val="24"/>
          <w:szCs w:val="24"/>
        </w:rPr>
        <w:t>。</w:t>
      </w:r>
    </w:p>
    <w:p>
      <w:pPr>
        <w:adjustRightInd w:val="0"/>
        <w:snapToGrid w:val="0"/>
        <w:spacing w:before="156" w:beforeLines="50" w:after="156" w:afterLines="50" w:line="360" w:lineRule="auto"/>
        <w:ind w:firstLine="470" w:firstLineChars="196"/>
        <w:rPr>
          <w:rFonts w:ascii="仿宋" w:hAnsi="仿宋" w:eastAsia="仿宋" w:cs="仿宋_GB2312"/>
          <w:sz w:val="24"/>
          <w:szCs w:val="24"/>
        </w:rPr>
      </w:pPr>
    </w:p>
    <w:p>
      <w:pPr>
        <w:pStyle w:val="4"/>
        <w:adjustRightInd w:val="0"/>
        <w:snapToGrid w:val="0"/>
        <w:spacing w:before="156" w:beforeLines="50" w:after="156" w:afterLines="50" w:line="360" w:lineRule="auto"/>
        <w:rPr>
          <w:rFonts w:ascii="仿宋" w:hAnsi="仿宋" w:eastAsia="仿宋"/>
          <w:sz w:val="24"/>
          <w:szCs w:val="24"/>
        </w:rPr>
      </w:pPr>
      <w:r>
        <w:rPr>
          <w:rFonts w:hint="eastAsia" w:ascii="仿宋" w:hAnsi="仿宋" w:eastAsia="仿宋"/>
          <w:sz w:val="24"/>
          <w:szCs w:val="24"/>
        </w:rPr>
        <w:t>2.2.4</w:t>
      </w:r>
      <w:r>
        <w:rPr>
          <w:rFonts w:ascii="仿宋" w:hAnsi="仿宋" w:eastAsia="仿宋"/>
          <w:sz w:val="24"/>
          <w:szCs w:val="24"/>
        </w:rPr>
        <w:t>智能假肢膝关节及适配技术</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156" w:beforeLines="50" w:after="156" w:afterLines="50" w:line="360" w:lineRule="auto"/>
        <w:jc w:val="left"/>
        <w:rPr>
          <w:rFonts w:ascii="仿宋" w:hAnsi="仿宋" w:eastAsia="仿宋" w:cs="仿宋_GB2312"/>
          <w:bCs/>
          <w:sz w:val="24"/>
          <w:szCs w:val="24"/>
        </w:rPr>
      </w:pPr>
      <w:r>
        <w:rPr>
          <w:rFonts w:hint="eastAsia" w:ascii="仿宋" w:hAnsi="仿宋" w:eastAsia="仿宋" w:cs="仿宋_GB2312"/>
          <w:b/>
          <w:bCs/>
          <w:sz w:val="24"/>
          <w:szCs w:val="24"/>
        </w:rPr>
        <w:tab/>
      </w:r>
      <w:r>
        <w:rPr>
          <w:rFonts w:hint="eastAsia" w:ascii="仿宋" w:hAnsi="仿宋" w:eastAsia="仿宋" w:cs="仿宋_GB2312"/>
          <w:b/>
          <w:bCs/>
          <w:sz w:val="24"/>
          <w:szCs w:val="24"/>
        </w:rPr>
        <w:t>研究内容：</w:t>
      </w:r>
      <w:r>
        <w:rPr>
          <w:rFonts w:ascii="仿宋" w:hAnsi="仿宋" w:eastAsia="仿宋" w:cs="仿宋_GB2312"/>
          <w:bCs/>
          <w:sz w:val="24"/>
          <w:szCs w:val="24"/>
        </w:rPr>
        <w:t>研制智能膝关节假肢，突破外界环境识别、人体意图分析以及智能驱动等核心技术，提高大腿截肢群体的运动能力，增强运动稳定性，降低能量消耗。开展轻便化、低成本、易装配的新一代智能动力膝关节设计；研究基于多传感器信息融合反馈的智能动力膝关节人机交互与控制方法；解决智能液压阻尼缸、能量回收器等关键部件的加工制造工艺；搭建智能动力膝关节功能验证与评价平台，并开展适配技术研究和典型示范应用。</w:t>
      </w:r>
    </w:p>
    <w:p>
      <w:pPr>
        <w:adjustRightInd w:val="0"/>
        <w:snapToGrid w:val="0"/>
        <w:spacing w:before="156" w:beforeLines="50" w:after="156" w:afterLines="50" w:line="360" w:lineRule="auto"/>
        <w:ind w:firstLine="482" w:firstLineChars="200"/>
        <w:rPr>
          <w:rFonts w:ascii="仿宋" w:hAnsi="仿宋" w:eastAsia="仿宋" w:cs="仿宋_GB2312"/>
          <w:bCs/>
          <w:sz w:val="24"/>
          <w:szCs w:val="24"/>
        </w:rPr>
      </w:pPr>
      <w:r>
        <w:rPr>
          <w:rFonts w:hint="eastAsia" w:ascii="仿宋" w:hAnsi="仿宋" w:eastAsia="仿宋" w:cs="仿宋_GB2312"/>
          <w:b/>
          <w:bCs/>
          <w:sz w:val="24"/>
          <w:szCs w:val="24"/>
        </w:rPr>
        <w:t>考核指标：</w:t>
      </w:r>
      <w:r>
        <w:rPr>
          <w:rFonts w:ascii="仿宋" w:hAnsi="仿宋" w:eastAsia="仿宋" w:cs="仿宋_GB2312"/>
          <w:bCs/>
          <w:sz w:val="24"/>
          <w:szCs w:val="24"/>
        </w:rPr>
        <w:t>智能膝关节可以实现5种以上运动模式的智能切换；运动模态识别率不小于95%，可实现环境交互感知的闭环反馈；总重量小于2.5kg；智能液压阻尼缸直径小于32mm，重量小于0.5kg，阻尼可连续精确调整，能实现自锁，最小阻尼力小于5N；膝关节整机满足国家标准要求的疲劳测试，续航时间不小于8小时，最大承重不小于100kg；建立智能动力膝关节评</w:t>
      </w:r>
      <w:r>
        <w:rPr>
          <w:rFonts w:hint="eastAsia" w:ascii="仿宋" w:hAnsi="仿宋" w:eastAsia="仿宋" w:cs="仿宋_GB2312"/>
          <w:bCs/>
          <w:sz w:val="24"/>
          <w:szCs w:val="24"/>
        </w:rPr>
        <w:t>测</w:t>
      </w:r>
      <w:r>
        <w:rPr>
          <w:rFonts w:ascii="仿宋" w:hAnsi="仿宋" w:eastAsia="仿宋" w:cs="仿宋_GB2312"/>
          <w:bCs/>
          <w:sz w:val="24"/>
          <w:szCs w:val="24"/>
        </w:rPr>
        <w:t>技术</w:t>
      </w:r>
      <w:r>
        <w:rPr>
          <w:rFonts w:hint="eastAsia" w:ascii="仿宋" w:hAnsi="仿宋" w:eastAsia="仿宋" w:cs="仿宋_GB2312"/>
          <w:bCs/>
          <w:sz w:val="24"/>
          <w:szCs w:val="24"/>
        </w:rPr>
        <w:t>及</w:t>
      </w:r>
      <w:r>
        <w:rPr>
          <w:rFonts w:ascii="仿宋" w:hAnsi="仿宋" w:eastAsia="仿宋" w:cs="仿宋_GB2312"/>
          <w:bCs/>
          <w:sz w:val="24"/>
          <w:szCs w:val="24"/>
        </w:rPr>
        <w:t>规范；申请/获得不少于6项核心发明专利；开展不低于10例的示范应用。</w:t>
      </w:r>
    </w:p>
    <w:p>
      <w:pPr>
        <w:adjustRightInd w:val="0"/>
        <w:snapToGrid w:val="0"/>
        <w:spacing w:before="156" w:beforeLines="50" w:after="156" w:afterLines="50" w:line="360" w:lineRule="auto"/>
        <w:ind w:firstLine="472" w:firstLineChars="196"/>
        <w:rPr>
          <w:rFonts w:ascii="仿宋" w:hAnsi="仿宋" w:eastAsia="仿宋"/>
          <w:b/>
          <w:bCs/>
          <w:sz w:val="24"/>
          <w:szCs w:val="24"/>
        </w:rPr>
      </w:pPr>
      <w:r>
        <w:rPr>
          <w:rFonts w:hint="eastAsia" w:ascii="仿宋" w:hAnsi="仿宋" w:eastAsia="仿宋" w:cs="仿宋_GB2312"/>
          <w:b/>
          <w:bCs/>
          <w:sz w:val="24"/>
          <w:szCs w:val="24"/>
        </w:rPr>
        <w:t>支持年限：</w:t>
      </w:r>
      <w:r>
        <w:rPr>
          <w:rFonts w:ascii="仿宋" w:hAnsi="仿宋" w:eastAsia="仿宋" w:cs="仿宋_GB2312"/>
          <w:sz w:val="24"/>
          <w:szCs w:val="24"/>
        </w:rPr>
        <w:t>2018-2022</w:t>
      </w:r>
      <w:r>
        <w:rPr>
          <w:rFonts w:hint="eastAsia" w:ascii="仿宋" w:hAnsi="仿宋" w:eastAsia="仿宋" w:cs="仿宋_GB2312"/>
          <w:sz w:val="24"/>
          <w:szCs w:val="24"/>
        </w:rPr>
        <w:t>年</w:t>
      </w:r>
    </w:p>
    <w:p>
      <w:pPr>
        <w:adjustRightInd w:val="0"/>
        <w:snapToGrid w:val="0"/>
        <w:spacing w:before="156" w:beforeLines="50" w:after="156" w:afterLines="50" w:line="360" w:lineRule="auto"/>
        <w:ind w:firstLine="472" w:firstLineChars="196"/>
        <w:rPr>
          <w:rFonts w:ascii="仿宋" w:hAnsi="仿宋" w:eastAsia="仿宋"/>
          <w:b/>
          <w:bCs/>
          <w:sz w:val="24"/>
          <w:szCs w:val="24"/>
        </w:rPr>
      </w:pPr>
      <w:r>
        <w:rPr>
          <w:rFonts w:hint="eastAsia" w:ascii="仿宋" w:hAnsi="仿宋" w:eastAsia="仿宋" w:cs="仿宋_GB2312"/>
          <w:b/>
          <w:bCs/>
          <w:sz w:val="24"/>
          <w:szCs w:val="24"/>
        </w:rPr>
        <w:t>拟支持项目数：</w:t>
      </w:r>
      <w:r>
        <w:rPr>
          <w:rFonts w:ascii="仿宋" w:hAnsi="仿宋" w:eastAsia="仿宋" w:cs="仿宋_GB2312"/>
          <w:sz w:val="24"/>
          <w:szCs w:val="24"/>
        </w:rPr>
        <w:t>1-2</w:t>
      </w:r>
      <w:r>
        <w:rPr>
          <w:rFonts w:hint="eastAsia" w:ascii="仿宋" w:hAnsi="仿宋" w:eastAsia="仿宋" w:cs="仿宋_GB2312"/>
          <w:sz w:val="24"/>
          <w:szCs w:val="24"/>
        </w:rPr>
        <w:t>项</w:t>
      </w:r>
    </w:p>
    <w:p>
      <w:pPr>
        <w:adjustRightInd w:val="0"/>
        <w:snapToGrid w:val="0"/>
        <w:spacing w:before="156" w:beforeLines="50" w:after="156" w:afterLines="50" w:line="360" w:lineRule="auto"/>
        <w:ind w:firstLine="482" w:firstLineChars="200"/>
        <w:rPr>
          <w:rFonts w:ascii="仿宋" w:hAnsi="仿宋" w:eastAsia="仿宋" w:cs="仿宋_GB2312"/>
          <w:sz w:val="24"/>
          <w:szCs w:val="24"/>
        </w:rPr>
      </w:pPr>
      <w:r>
        <w:rPr>
          <w:rFonts w:hint="eastAsia" w:ascii="仿宋" w:hAnsi="仿宋" w:eastAsia="仿宋" w:cs="仿宋_GB2312"/>
          <w:b/>
          <w:bCs/>
          <w:sz w:val="24"/>
          <w:szCs w:val="24"/>
        </w:rPr>
        <w:t>有关说明：</w:t>
      </w:r>
      <w:r>
        <w:rPr>
          <w:rFonts w:hint="eastAsia" w:ascii="仿宋" w:hAnsi="仿宋" w:eastAsia="仿宋" w:cs="仿宋_GB2312"/>
          <w:sz w:val="24"/>
          <w:szCs w:val="24"/>
        </w:rPr>
        <w:t>牵头单位应具备相关基础和研究条件，要求产、学、研、医、检、适配等优势单位联合申报。其他经费（包括地方财政经费、单位出资及社会渠道资金等）与中央财政经费比例不低于3</w:t>
      </w:r>
      <w:r>
        <w:rPr>
          <w:rFonts w:ascii="仿宋" w:hAnsi="仿宋" w:eastAsia="仿宋" w:cs="仿宋_GB2312"/>
          <w:sz w:val="24"/>
          <w:szCs w:val="24"/>
        </w:rPr>
        <w:t>:1</w:t>
      </w:r>
      <w:r>
        <w:rPr>
          <w:rFonts w:hint="eastAsia" w:ascii="仿宋" w:hAnsi="仿宋" w:eastAsia="仿宋" w:cs="仿宋_GB2312"/>
          <w:sz w:val="24"/>
          <w:szCs w:val="24"/>
        </w:rPr>
        <w:t>。</w:t>
      </w:r>
    </w:p>
    <w:p>
      <w:pPr>
        <w:adjustRightInd w:val="0"/>
        <w:snapToGrid w:val="0"/>
        <w:spacing w:before="156" w:beforeLines="50" w:after="156" w:afterLines="50" w:line="360" w:lineRule="auto"/>
        <w:ind w:firstLine="480" w:firstLineChars="200"/>
        <w:rPr>
          <w:rFonts w:ascii="仿宋" w:hAnsi="仿宋" w:eastAsia="仿宋"/>
          <w:sz w:val="24"/>
          <w:szCs w:val="24"/>
        </w:rPr>
      </w:pPr>
    </w:p>
    <w:p>
      <w:pPr>
        <w:pStyle w:val="4"/>
        <w:adjustRightInd w:val="0"/>
        <w:snapToGrid w:val="0"/>
        <w:spacing w:before="156" w:beforeLines="50" w:after="156" w:afterLines="50" w:line="360" w:lineRule="auto"/>
        <w:rPr>
          <w:rFonts w:ascii="仿宋" w:hAnsi="仿宋" w:eastAsia="仿宋"/>
          <w:sz w:val="24"/>
          <w:szCs w:val="24"/>
        </w:rPr>
      </w:pPr>
      <w:r>
        <w:rPr>
          <w:rFonts w:hint="eastAsia" w:ascii="仿宋" w:hAnsi="仿宋" w:eastAsia="仿宋"/>
          <w:sz w:val="24"/>
          <w:szCs w:val="24"/>
        </w:rPr>
        <w:t>2.2.5老年人跌倒预警防护技术及产品开发</w:t>
      </w:r>
    </w:p>
    <w:p>
      <w:pPr>
        <w:adjustRightInd w:val="0"/>
        <w:snapToGrid w:val="0"/>
        <w:spacing w:before="156" w:beforeLines="50" w:after="156" w:afterLines="50" w:line="360" w:lineRule="auto"/>
        <w:ind w:firstLine="593" w:firstLineChars="246"/>
        <w:rPr>
          <w:rFonts w:ascii="仿宋" w:hAnsi="仿宋" w:eastAsia="仿宋"/>
          <w:sz w:val="24"/>
          <w:szCs w:val="24"/>
        </w:rPr>
      </w:pPr>
      <w:r>
        <w:rPr>
          <w:rFonts w:hint="eastAsia" w:ascii="仿宋" w:hAnsi="仿宋" w:eastAsia="仿宋" w:cs="仿宋_GB2312"/>
          <w:b/>
          <w:bCs/>
          <w:sz w:val="24"/>
          <w:szCs w:val="24"/>
        </w:rPr>
        <w:t>研究内容：</w:t>
      </w:r>
      <w:r>
        <w:rPr>
          <w:rFonts w:hint="eastAsia" w:ascii="仿宋" w:hAnsi="仿宋" w:eastAsia="仿宋" w:cs="仿宋_GB2312"/>
          <w:sz w:val="24"/>
          <w:szCs w:val="24"/>
        </w:rPr>
        <w:t>研究老年人肌力评估、步态运动识别等关键技术，明确老年跌倒发生特点及影响因素，制定老年人跌倒风险筛查标准，建立老年跌倒预警体系；研究老年人居家跌倒安全风险评估及适老化环境改善技术；研发步态识别、跌倒预警防护和运动监测管理等智能照护辅具和系统，并开展医院</w:t>
      </w:r>
      <w:r>
        <w:rPr>
          <w:rFonts w:ascii="仿宋" w:hAnsi="仿宋" w:eastAsia="仿宋" w:cs="仿宋_GB2312"/>
          <w:sz w:val="24"/>
          <w:szCs w:val="24"/>
        </w:rPr>
        <w:t>-</w:t>
      </w:r>
      <w:r>
        <w:rPr>
          <w:rFonts w:hint="eastAsia" w:ascii="仿宋" w:hAnsi="仿宋" w:eastAsia="仿宋" w:cs="仿宋_GB2312"/>
          <w:sz w:val="24"/>
          <w:szCs w:val="24"/>
        </w:rPr>
        <w:t>社区</w:t>
      </w:r>
      <w:r>
        <w:rPr>
          <w:rFonts w:ascii="仿宋" w:hAnsi="仿宋" w:eastAsia="仿宋" w:cs="仿宋_GB2312"/>
          <w:sz w:val="24"/>
          <w:szCs w:val="24"/>
        </w:rPr>
        <w:t>-</w:t>
      </w:r>
      <w:r>
        <w:rPr>
          <w:rFonts w:hint="eastAsia" w:ascii="仿宋" w:hAnsi="仿宋" w:eastAsia="仿宋" w:cs="仿宋_GB2312"/>
          <w:sz w:val="24"/>
          <w:szCs w:val="24"/>
        </w:rPr>
        <w:t>居家联动的应用模式验证。</w:t>
      </w:r>
    </w:p>
    <w:p>
      <w:pPr>
        <w:adjustRightInd w:val="0"/>
        <w:snapToGrid w:val="0"/>
        <w:spacing w:before="156" w:beforeLines="50" w:after="156" w:afterLines="50" w:line="360" w:lineRule="auto"/>
        <w:ind w:firstLine="593" w:firstLineChars="246"/>
        <w:rPr>
          <w:rFonts w:ascii="仿宋" w:hAnsi="仿宋" w:eastAsia="仿宋"/>
          <w:sz w:val="24"/>
          <w:szCs w:val="24"/>
        </w:rPr>
      </w:pPr>
      <w:r>
        <w:rPr>
          <w:rFonts w:hint="eastAsia" w:ascii="仿宋" w:hAnsi="仿宋" w:eastAsia="仿宋" w:cs="仿宋_GB2312"/>
          <w:b/>
          <w:bCs/>
          <w:sz w:val="24"/>
          <w:szCs w:val="24"/>
        </w:rPr>
        <w:t>考核指标：</w:t>
      </w:r>
      <w:r>
        <w:rPr>
          <w:rFonts w:hint="eastAsia" w:ascii="仿宋" w:hAnsi="仿宋" w:eastAsia="仿宋" w:cs="仿宋_GB2312"/>
          <w:sz w:val="24"/>
          <w:szCs w:val="24"/>
        </w:rPr>
        <w:t>构建集老年人跌倒预警、防护、安全监测于一体的综合监护系统。建立量化的老年跌倒风险筛查量表，发一套跌倒风险筛查评估软件，准确率≥</w:t>
      </w:r>
      <w:r>
        <w:rPr>
          <w:rFonts w:ascii="仿宋" w:hAnsi="仿宋" w:eastAsia="仿宋" w:cs="仿宋_GB2312"/>
          <w:sz w:val="24"/>
          <w:szCs w:val="24"/>
        </w:rPr>
        <w:t>92%</w:t>
      </w:r>
      <w:r>
        <w:rPr>
          <w:rFonts w:hint="eastAsia" w:ascii="仿宋" w:hAnsi="仿宋" w:eastAsia="仿宋" w:cs="仿宋_GB2312"/>
          <w:sz w:val="24"/>
          <w:szCs w:val="24"/>
        </w:rPr>
        <w:t>，申请</w:t>
      </w:r>
      <w:r>
        <w:rPr>
          <w:rFonts w:ascii="仿宋" w:hAnsi="仿宋" w:eastAsia="仿宋" w:cs="仿宋_GB2312"/>
          <w:sz w:val="24"/>
          <w:szCs w:val="24"/>
        </w:rPr>
        <w:t>/</w:t>
      </w:r>
      <w:r>
        <w:rPr>
          <w:rFonts w:hint="eastAsia" w:ascii="仿宋" w:hAnsi="仿宋" w:eastAsia="仿宋" w:cs="仿宋_GB2312"/>
          <w:sz w:val="24"/>
          <w:szCs w:val="24"/>
        </w:rPr>
        <w:t>获得产品注册证；制定一套适合中国老年人的自主平衡恢复策略训练方法，研发</w:t>
      </w:r>
      <w:r>
        <w:rPr>
          <w:rFonts w:ascii="仿宋" w:hAnsi="仿宋" w:eastAsia="仿宋" w:cs="仿宋_GB2312"/>
          <w:sz w:val="24"/>
          <w:szCs w:val="24"/>
        </w:rPr>
        <w:t>3-5</w:t>
      </w:r>
      <w:r>
        <w:rPr>
          <w:rFonts w:hint="eastAsia" w:ascii="仿宋" w:hAnsi="仿宋" w:eastAsia="仿宋" w:cs="仿宋_GB2312"/>
          <w:sz w:val="24"/>
          <w:szCs w:val="24"/>
        </w:rPr>
        <w:t>种跌倒应急</w:t>
      </w:r>
      <w:r>
        <w:rPr>
          <w:rFonts w:ascii="仿宋" w:hAnsi="仿宋" w:eastAsia="仿宋" w:cs="仿宋_GB2312"/>
          <w:sz w:val="24"/>
          <w:szCs w:val="24"/>
        </w:rPr>
        <w:t>/</w:t>
      </w:r>
      <w:r>
        <w:rPr>
          <w:rFonts w:hint="eastAsia" w:ascii="仿宋" w:hAnsi="仿宋" w:eastAsia="仿宋" w:cs="仿宋_GB2312"/>
          <w:sz w:val="24"/>
          <w:szCs w:val="24"/>
        </w:rPr>
        <w:t>防护装备，跌倒预警设备至少支持</w:t>
      </w:r>
      <w:r>
        <w:rPr>
          <w:rFonts w:ascii="仿宋" w:hAnsi="仿宋" w:eastAsia="仿宋" w:cs="仿宋_GB2312"/>
          <w:sz w:val="24"/>
          <w:szCs w:val="24"/>
        </w:rPr>
        <w:t>12</w:t>
      </w:r>
      <w:r>
        <w:rPr>
          <w:rFonts w:hint="eastAsia" w:ascii="仿宋" w:hAnsi="仿宋" w:eastAsia="仿宋" w:cs="仿宋_GB2312"/>
          <w:sz w:val="24"/>
          <w:szCs w:val="24"/>
        </w:rPr>
        <w:t>种人体运动识别，准确率≥</w:t>
      </w:r>
      <w:r>
        <w:rPr>
          <w:rFonts w:ascii="仿宋" w:hAnsi="仿宋" w:eastAsia="仿宋" w:cs="仿宋_GB2312"/>
          <w:sz w:val="24"/>
          <w:szCs w:val="24"/>
        </w:rPr>
        <w:t>90%</w:t>
      </w:r>
      <w:r>
        <w:rPr>
          <w:rFonts w:hint="eastAsia" w:ascii="仿宋" w:hAnsi="仿宋" w:eastAsia="仿宋" w:cs="仿宋_GB2312"/>
          <w:sz w:val="24"/>
          <w:szCs w:val="24"/>
        </w:rPr>
        <w:t>，跌倒防护设备重量＜</w:t>
      </w:r>
      <w:r>
        <w:rPr>
          <w:rFonts w:ascii="仿宋" w:hAnsi="仿宋" w:eastAsia="仿宋" w:cs="仿宋_GB2312"/>
          <w:sz w:val="24"/>
          <w:szCs w:val="24"/>
        </w:rPr>
        <w:t>600g</w:t>
      </w:r>
      <w:r>
        <w:rPr>
          <w:rFonts w:hint="eastAsia" w:ascii="仿宋" w:hAnsi="仿宋" w:eastAsia="仿宋" w:cs="仿宋_GB2312"/>
          <w:sz w:val="24"/>
          <w:szCs w:val="24"/>
        </w:rPr>
        <w:t>，预警时间≥</w:t>
      </w:r>
      <w:r>
        <w:rPr>
          <w:rFonts w:ascii="仿宋" w:hAnsi="仿宋" w:eastAsia="仿宋" w:cs="仿宋_GB2312"/>
          <w:sz w:val="24"/>
          <w:szCs w:val="24"/>
        </w:rPr>
        <w:t>200ms</w:t>
      </w:r>
      <w:r>
        <w:rPr>
          <w:rFonts w:hint="eastAsia" w:ascii="仿宋" w:hAnsi="仿宋" w:eastAsia="仿宋" w:cs="仿宋_GB2312"/>
          <w:sz w:val="24"/>
          <w:szCs w:val="24"/>
        </w:rPr>
        <w:t>，准确率≥</w:t>
      </w:r>
      <w:r>
        <w:rPr>
          <w:rFonts w:ascii="仿宋" w:hAnsi="仿宋" w:eastAsia="仿宋" w:cs="仿宋_GB2312"/>
          <w:sz w:val="24"/>
          <w:szCs w:val="24"/>
        </w:rPr>
        <w:t>90%</w:t>
      </w:r>
      <w:r>
        <w:rPr>
          <w:rFonts w:hint="eastAsia" w:ascii="仿宋" w:hAnsi="仿宋" w:eastAsia="仿宋" w:cs="仿宋_GB2312"/>
          <w:sz w:val="24"/>
          <w:szCs w:val="24"/>
        </w:rPr>
        <w:t>；研发至少</w:t>
      </w:r>
      <w:r>
        <w:rPr>
          <w:rFonts w:ascii="仿宋" w:hAnsi="仿宋" w:eastAsia="仿宋" w:cs="仿宋_GB2312"/>
          <w:sz w:val="24"/>
          <w:szCs w:val="24"/>
        </w:rPr>
        <w:t>3</w:t>
      </w:r>
      <w:r>
        <w:rPr>
          <w:rFonts w:hint="eastAsia" w:ascii="仿宋" w:hAnsi="仿宋" w:eastAsia="仿宋" w:cs="仿宋_GB2312"/>
          <w:sz w:val="24"/>
          <w:szCs w:val="24"/>
        </w:rPr>
        <w:t>种老人居家安全风险监测</w:t>
      </w:r>
      <w:r>
        <w:rPr>
          <w:rFonts w:ascii="仿宋" w:hAnsi="仿宋" w:eastAsia="仿宋" w:cs="仿宋_GB2312"/>
          <w:sz w:val="24"/>
          <w:szCs w:val="24"/>
        </w:rPr>
        <w:t>/</w:t>
      </w:r>
      <w:r>
        <w:rPr>
          <w:rFonts w:hint="eastAsia" w:ascii="仿宋" w:hAnsi="仿宋" w:eastAsia="仿宋" w:cs="仿宋_GB2312"/>
          <w:sz w:val="24"/>
          <w:szCs w:val="24"/>
        </w:rPr>
        <w:t>预警设备，开发一套能够实现医院</w:t>
      </w:r>
      <w:r>
        <w:rPr>
          <w:rFonts w:ascii="仿宋" w:hAnsi="仿宋" w:eastAsia="仿宋" w:cs="仿宋_GB2312"/>
          <w:sz w:val="24"/>
          <w:szCs w:val="24"/>
        </w:rPr>
        <w:t>-</w:t>
      </w:r>
      <w:r>
        <w:rPr>
          <w:rFonts w:hint="eastAsia" w:ascii="仿宋" w:hAnsi="仿宋" w:eastAsia="仿宋" w:cs="仿宋_GB2312"/>
          <w:sz w:val="24"/>
          <w:szCs w:val="24"/>
        </w:rPr>
        <w:t>社区</w:t>
      </w:r>
      <w:r>
        <w:rPr>
          <w:rFonts w:ascii="仿宋" w:hAnsi="仿宋" w:eastAsia="仿宋" w:cs="仿宋_GB2312"/>
          <w:sz w:val="24"/>
          <w:szCs w:val="24"/>
        </w:rPr>
        <w:t>-</w:t>
      </w:r>
      <w:r>
        <w:rPr>
          <w:rFonts w:hint="eastAsia" w:ascii="仿宋" w:hAnsi="仿宋" w:eastAsia="仿宋" w:cs="仿宋_GB2312"/>
          <w:sz w:val="24"/>
          <w:szCs w:val="24"/>
        </w:rPr>
        <w:t>居家联动的老年人运动监测管理系统，平台最大吞吐量≥</w:t>
      </w:r>
      <w:r>
        <w:rPr>
          <w:rFonts w:ascii="仿宋" w:hAnsi="仿宋" w:eastAsia="仿宋" w:cs="仿宋_GB2312"/>
          <w:sz w:val="24"/>
          <w:szCs w:val="24"/>
        </w:rPr>
        <w:t>10</w:t>
      </w:r>
      <w:r>
        <w:rPr>
          <w:rFonts w:hint="eastAsia" w:ascii="仿宋" w:hAnsi="仿宋" w:eastAsia="仿宋" w:cs="仿宋_GB2312"/>
          <w:sz w:val="24"/>
          <w:szCs w:val="24"/>
        </w:rPr>
        <w:t>万人次请求</w:t>
      </w:r>
      <w:r>
        <w:rPr>
          <w:rFonts w:ascii="仿宋" w:hAnsi="仿宋" w:eastAsia="仿宋" w:cs="仿宋_GB2312"/>
          <w:sz w:val="24"/>
          <w:szCs w:val="24"/>
        </w:rPr>
        <w:t>/</w:t>
      </w:r>
      <w:r>
        <w:rPr>
          <w:rFonts w:hint="eastAsia" w:ascii="仿宋" w:hAnsi="仿宋" w:eastAsia="仿宋" w:cs="仿宋_GB2312"/>
          <w:sz w:val="24"/>
          <w:szCs w:val="24"/>
        </w:rPr>
        <w:t>秒，并开展不少于</w:t>
      </w:r>
      <w:r>
        <w:rPr>
          <w:rFonts w:ascii="仿宋" w:hAnsi="仿宋" w:eastAsia="仿宋" w:cs="仿宋_GB2312"/>
          <w:sz w:val="24"/>
          <w:szCs w:val="24"/>
        </w:rPr>
        <w:t>3</w:t>
      </w:r>
      <w:r>
        <w:rPr>
          <w:rFonts w:hint="eastAsia" w:ascii="仿宋" w:hAnsi="仿宋" w:eastAsia="仿宋" w:cs="仿宋_GB2312"/>
          <w:sz w:val="24"/>
          <w:szCs w:val="24"/>
        </w:rPr>
        <w:t>家医院和社区的应用模式验证；申请</w:t>
      </w:r>
      <w:r>
        <w:rPr>
          <w:rFonts w:ascii="仿宋" w:hAnsi="仿宋" w:eastAsia="仿宋" w:cs="仿宋_GB2312"/>
          <w:sz w:val="24"/>
          <w:szCs w:val="24"/>
        </w:rPr>
        <w:t>/</w:t>
      </w:r>
      <w:r>
        <w:rPr>
          <w:rFonts w:hint="eastAsia" w:ascii="仿宋" w:hAnsi="仿宋" w:eastAsia="仿宋" w:cs="仿宋_GB2312"/>
          <w:sz w:val="24"/>
          <w:szCs w:val="24"/>
        </w:rPr>
        <w:t>获得不少于</w:t>
      </w:r>
      <w:r>
        <w:rPr>
          <w:rFonts w:ascii="仿宋" w:hAnsi="仿宋" w:eastAsia="仿宋" w:cs="仿宋_GB2312"/>
          <w:sz w:val="24"/>
          <w:szCs w:val="24"/>
        </w:rPr>
        <w:t>20</w:t>
      </w:r>
      <w:r>
        <w:rPr>
          <w:rFonts w:hint="eastAsia" w:ascii="仿宋" w:hAnsi="仿宋" w:eastAsia="仿宋" w:cs="仿宋_GB2312"/>
          <w:sz w:val="24"/>
          <w:szCs w:val="24"/>
        </w:rPr>
        <w:t>项核心发明专利，形成专利池。</w:t>
      </w:r>
    </w:p>
    <w:p>
      <w:pPr>
        <w:adjustRightInd w:val="0"/>
        <w:snapToGrid w:val="0"/>
        <w:spacing w:before="156" w:beforeLines="50" w:after="156" w:afterLines="50" w:line="360" w:lineRule="auto"/>
        <w:ind w:firstLine="593" w:firstLineChars="246"/>
        <w:rPr>
          <w:rFonts w:ascii="仿宋" w:hAnsi="仿宋" w:eastAsia="仿宋"/>
          <w:b/>
          <w:bCs/>
          <w:sz w:val="24"/>
          <w:szCs w:val="24"/>
        </w:rPr>
      </w:pPr>
      <w:r>
        <w:rPr>
          <w:rFonts w:hint="eastAsia" w:ascii="仿宋" w:hAnsi="仿宋" w:eastAsia="仿宋" w:cs="仿宋_GB2312"/>
          <w:b/>
          <w:sz w:val="24"/>
          <w:szCs w:val="24"/>
        </w:rPr>
        <w:t>支持年限：</w:t>
      </w:r>
      <w:r>
        <w:rPr>
          <w:rFonts w:ascii="仿宋" w:hAnsi="仿宋" w:eastAsia="仿宋" w:cs="仿宋_GB2312"/>
          <w:sz w:val="24"/>
          <w:szCs w:val="24"/>
        </w:rPr>
        <w:t>2018-2022</w:t>
      </w:r>
      <w:r>
        <w:rPr>
          <w:rFonts w:hint="eastAsia" w:ascii="仿宋" w:hAnsi="仿宋" w:eastAsia="仿宋" w:cs="仿宋_GB2312"/>
          <w:sz w:val="24"/>
          <w:szCs w:val="24"/>
        </w:rPr>
        <w:t>年</w:t>
      </w:r>
    </w:p>
    <w:p>
      <w:pPr>
        <w:adjustRightInd w:val="0"/>
        <w:snapToGrid w:val="0"/>
        <w:spacing w:before="156" w:beforeLines="50" w:after="156" w:afterLines="50" w:line="360" w:lineRule="auto"/>
        <w:ind w:firstLine="593" w:firstLineChars="246"/>
        <w:rPr>
          <w:rFonts w:ascii="仿宋" w:hAnsi="仿宋" w:eastAsia="仿宋"/>
          <w:b/>
          <w:bCs/>
          <w:sz w:val="24"/>
          <w:szCs w:val="24"/>
        </w:rPr>
      </w:pPr>
      <w:r>
        <w:rPr>
          <w:rFonts w:hint="eastAsia" w:ascii="仿宋" w:hAnsi="仿宋" w:eastAsia="仿宋" w:cs="仿宋_GB2312"/>
          <w:b/>
          <w:bCs/>
          <w:sz w:val="24"/>
          <w:szCs w:val="24"/>
        </w:rPr>
        <w:t>拟支持项目数：</w:t>
      </w:r>
      <w:r>
        <w:rPr>
          <w:rFonts w:ascii="仿宋" w:hAnsi="仿宋" w:eastAsia="仿宋" w:cs="仿宋_GB2312"/>
          <w:sz w:val="24"/>
          <w:szCs w:val="24"/>
        </w:rPr>
        <w:t>1-2</w:t>
      </w:r>
      <w:r>
        <w:rPr>
          <w:rFonts w:hint="eastAsia" w:ascii="仿宋" w:hAnsi="仿宋" w:eastAsia="仿宋" w:cs="仿宋_GB2312"/>
          <w:sz w:val="24"/>
          <w:szCs w:val="24"/>
        </w:rPr>
        <w:t>项</w:t>
      </w:r>
    </w:p>
    <w:p>
      <w:pPr>
        <w:adjustRightInd w:val="0"/>
        <w:snapToGrid w:val="0"/>
        <w:spacing w:before="156" w:beforeLines="50" w:after="156" w:afterLines="50" w:line="360" w:lineRule="auto"/>
        <w:ind w:firstLine="593" w:firstLineChars="246"/>
        <w:rPr>
          <w:rFonts w:ascii="仿宋" w:hAnsi="仿宋" w:eastAsia="仿宋" w:cs="仿宋_GB2312"/>
          <w:sz w:val="24"/>
          <w:szCs w:val="24"/>
        </w:rPr>
      </w:pPr>
      <w:r>
        <w:rPr>
          <w:rFonts w:hint="eastAsia" w:ascii="仿宋" w:hAnsi="仿宋" w:eastAsia="仿宋" w:cs="仿宋_GB2312"/>
          <w:b/>
          <w:bCs/>
          <w:sz w:val="24"/>
          <w:szCs w:val="24"/>
        </w:rPr>
        <w:t>有关说明：</w:t>
      </w:r>
      <w:r>
        <w:rPr>
          <w:rFonts w:hint="eastAsia" w:ascii="仿宋" w:hAnsi="仿宋" w:eastAsia="仿宋" w:cs="仿宋_GB2312"/>
          <w:sz w:val="24"/>
          <w:szCs w:val="24"/>
        </w:rPr>
        <w:t>其他经费（包括地方财政经费、单位出资及社会渠道资金等）与中央财政经费比例不低于3</w:t>
      </w:r>
      <w:r>
        <w:rPr>
          <w:rFonts w:ascii="仿宋" w:hAnsi="仿宋" w:eastAsia="仿宋" w:cs="仿宋_GB2312"/>
          <w:sz w:val="24"/>
          <w:szCs w:val="24"/>
        </w:rPr>
        <w:t>:1</w:t>
      </w:r>
      <w:r>
        <w:rPr>
          <w:rFonts w:hint="eastAsia" w:ascii="仿宋" w:hAnsi="仿宋" w:eastAsia="仿宋" w:cs="仿宋_GB2312"/>
          <w:sz w:val="24"/>
          <w:szCs w:val="24"/>
        </w:rPr>
        <w:t>。</w:t>
      </w:r>
    </w:p>
    <w:p>
      <w:pPr>
        <w:adjustRightInd w:val="0"/>
        <w:snapToGrid w:val="0"/>
        <w:spacing w:before="156" w:beforeLines="50" w:after="156" w:afterLines="50" w:line="360" w:lineRule="auto"/>
        <w:ind w:firstLine="593" w:firstLineChars="246"/>
        <w:rPr>
          <w:rFonts w:ascii="仿宋" w:hAnsi="仿宋" w:eastAsia="仿宋"/>
          <w:b/>
          <w:bCs/>
          <w:sz w:val="24"/>
          <w:szCs w:val="24"/>
        </w:rPr>
      </w:pPr>
    </w:p>
    <w:p>
      <w:pPr>
        <w:pStyle w:val="4"/>
        <w:adjustRightInd w:val="0"/>
        <w:snapToGrid w:val="0"/>
        <w:spacing w:before="156" w:beforeLines="50" w:after="156" w:afterLines="50" w:line="360" w:lineRule="auto"/>
        <w:rPr>
          <w:rFonts w:ascii="仿宋" w:hAnsi="仿宋" w:eastAsia="仿宋"/>
          <w:sz w:val="24"/>
          <w:szCs w:val="24"/>
        </w:rPr>
      </w:pPr>
      <w:r>
        <w:rPr>
          <w:rFonts w:hint="eastAsia" w:ascii="仿宋" w:hAnsi="仿宋" w:eastAsia="仿宋"/>
          <w:sz w:val="24"/>
          <w:szCs w:val="24"/>
        </w:rPr>
        <w:t>2.2.6智能矫形器与外固定系统</w:t>
      </w:r>
    </w:p>
    <w:p>
      <w:pPr>
        <w:adjustRightInd w:val="0"/>
        <w:snapToGrid w:val="0"/>
        <w:spacing w:before="156" w:beforeLines="50" w:after="156" w:afterLines="50" w:line="360" w:lineRule="auto"/>
        <w:ind w:firstLine="470" w:firstLineChars="195"/>
        <w:rPr>
          <w:rFonts w:ascii="仿宋" w:hAnsi="仿宋" w:eastAsia="仿宋"/>
          <w:sz w:val="24"/>
          <w:szCs w:val="24"/>
        </w:rPr>
      </w:pPr>
      <w:r>
        <w:rPr>
          <w:rFonts w:hint="eastAsia" w:ascii="仿宋" w:hAnsi="仿宋" w:eastAsia="仿宋" w:cs="仿宋_GB2312"/>
          <w:b/>
          <w:bCs/>
          <w:sz w:val="24"/>
          <w:szCs w:val="24"/>
        </w:rPr>
        <w:t>研究内容：</w:t>
      </w:r>
      <w:r>
        <w:rPr>
          <w:rFonts w:hint="eastAsia" w:ascii="仿宋" w:hAnsi="仿宋" w:eastAsia="仿宋" w:cs="仿宋_GB2312"/>
          <w:sz w:val="24"/>
          <w:szCs w:val="24"/>
        </w:rPr>
        <w:t>针对四肢、躯干的畸形及骨关节、神经肌肉和足部常见疾病，研究其生物力学矫治机制，开发具有量化调控和动态矫治的智能矫形器和外固定系统；开发具有远程信息获取的个性化矫形器数字化设计制作系统，研究矫形器个性化适配的量化评估技术及方法；探索振动等促进骨愈合的作用机制，研发外固定矫正过程中骨愈合程度与软组织力学环境的定量监测以及畸形矫治的智能量化反馈调控技术；建立包含血液循环系统的足部肌骨系统数值仿真模型，研究微循环等生理特征及其测量技术，开发具有实时生理参数监测、应力分布优化和主动防护等功能的智能足部辅具；开展临床应用示范，形成相关的标准规范。</w:t>
      </w:r>
    </w:p>
    <w:p>
      <w:pPr>
        <w:adjustRightInd w:val="0"/>
        <w:snapToGrid w:val="0"/>
        <w:spacing w:before="156" w:beforeLines="50" w:after="156" w:afterLines="50" w:line="360" w:lineRule="auto"/>
        <w:ind w:firstLine="472" w:firstLineChars="196"/>
        <w:rPr>
          <w:rFonts w:ascii="仿宋" w:hAnsi="仿宋" w:eastAsia="仿宋"/>
          <w:sz w:val="24"/>
          <w:szCs w:val="24"/>
        </w:rPr>
      </w:pPr>
      <w:r>
        <w:rPr>
          <w:rFonts w:hint="eastAsia" w:ascii="仿宋" w:hAnsi="仿宋" w:eastAsia="仿宋" w:cs="仿宋_GB2312"/>
          <w:b/>
          <w:bCs/>
          <w:sz w:val="24"/>
          <w:szCs w:val="24"/>
        </w:rPr>
        <w:t>考核指标：</w:t>
      </w:r>
      <w:r>
        <w:rPr>
          <w:rFonts w:hint="eastAsia" w:ascii="仿宋" w:hAnsi="仿宋" w:eastAsia="仿宋" w:cs="仿宋_GB2312"/>
          <w:sz w:val="24"/>
          <w:szCs w:val="24"/>
        </w:rPr>
        <w:t>构建量化调控和动态矫治技术与方法，研发</w:t>
      </w:r>
      <w:r>
        <w:rPr>
          <w:rFonts w:ascii="仿宋" w:hAnsi="仿宋" w:eastAsia="仿宋" w:cs="仿宋_GB2312"/>
          <w:sz w:val="24"/>
          <w:szCs w:val="24"/>
        </w:rPr>
        <w:t>3</w:t>
      </w:r>
      <w:r>
        <w:rPr>
          <w:rFonts w:hint="eastAsia" w:ascii="仿宋" w:hAnsi="仿宋" w:eastAsia="仿宋" w:cs="仿宋_GB2312"/>
          <w:sz w:val="24"/>
          <w:szCs w:val="24"/>
        </w:rPr>
        <w:t>种以上的智能矫形器、</w:t>
      </w:r>
      <w:r>
        <w:rPr>
          <w:rFonts w:ascii="仿宋" w:hAnsi="仿宋" w:eastAsia="仿宋" w:cs="仿宋_GB2312"/>
          <w:sz w:val="24"/>
          <w:szCs w:val="24"/>
        </w:rPr>
        <w:t>1</w:t>
      </w:r>
      <w:r>
        <w:rPr>
          <w:rFonts w:hint="eastAsia" w:ascii="仿宋" w:hAnsi="仿宋" w:eastAsia="仿宋" w:cs="仿宋_GB2312"/>
          <w:sz w:val="24"/>
          <w:szCs w:val="24"/>
        </w:rPr>
        <w:t>种智能外固定系统和</w:t>
      </w:r>
      <w:r>
        <w:rPr>
          <w:rFonts w:ascii="仿宋" w:hAnsi="仿宋" w:eastAsia="仿宋" w:cs="仿宋_GB2312"/>
          <w:sz w:val="24"/>
          <w:szCs w:val="24"/>
        </w:rPr>
        <w:t>4</w:t>
      </w:r>
      <w:r>
        <w:rPr>
          <w:rFonts w:hint="eastAsia" w:ascii="仿宋" w:hAnsi="仿宋" w:eastAsia="仿宋" w:cs="仿宋_GB2312"/>
          <w:sz w:val="24"/>
          <w:szCs w:val="24"/>
        </w:rPr>
        <w:t>种以上的足部辅具。其中智能矫形器应实现个性化矫形器的数字化设计优化，实现个性化适配量化评估、调控和动态矫治等功能，开展不少于</w:t>
      </w:r>
      <w:r>
        <w:rPr>
          <w:rFonts w:ascii="仿宋" w:hAnsi="仿宋" w:eastAsia="仿宋" w:cs="仿宋_GB2312"/>
          <w:sz w:val="24"/>
          <w:szCs w:val="24"/>
        </w:rPr>
        <w:t>50</w:t>
      </w:r>
      <w:r>
        <w:rPr>
          <w:rFonts w:hint="eastAsia" w:ascii="仿宋" w:hAnsi="仿宋" w:eastAsia="仿宋" w:cs="仿宋_GB2312"/>
          <w:sz w:val="24"/>
          <w:szCs w:val="24"/>
        </w:rPr>
        <w:t>例的临床应用；智能外固定系统应具有矫正路径规划与优化功能，实现骨愈合程度的连续监测，并通过反馈机制实现外固定矫正的量化精准调控，平移和转动精度分别不低于</w:t>
      </w:r>
      <w:r>
        <w:rPr>
          <w:rFonts w:ascii="仿宋" w:hAnsi="仿宋" w:eastAsia="仿宋" w:cs="仿宋_GB2312"/>
          <w:sz w:val="24"/>
          <w:szCs w:val="24"/>
        </w:rPr>
        <w:t>0.01mm</w:t>
      </w:r>
      <w:r>
        <w:rPr>
          <w:rFonts w:hint="eastAsia" w:ascii="仿宋" w:hAnsi="仿宋" w:eastAsia="仿宋" w:cs="仿宋_GB2312"/>
          <w:sz w:val="24"/>
          <w:szCs w:val="24"/>
        </w:rPr>
        <w:t>、</w:t>
      </w:r>
      <w:r>
        <w:rPr>
          <w:rFonts w:ascii="仿宋" w:hAnsi="仿宋" w:eastAsia="仿宋" w:cs="仿宋_GB2312"/>
          <w:sz w:val="24"/>
          <w:szCs w:val="24"/>
        </w:rPr>
        <w:t>0.1</w:t>
      </w:r>
      <w:r>
        <w:rPr>
          <w:rFonts w:hint="eastAsia" w:ascii="仿宋" w:hAnsi="仿宋" w:eastAsia="仿宋" w:cs="仿宋_GB2312"/>
          <w:sz w:val="24"/>
          <w:szCs w:val="24"/>
        </w:rPr>
        <w:t>°，对矫治力控制精度不低于</w:t>
      </w:r>
      <w:r>
        <w:rPr>
          <w:rFonts w:ascii="仿宋" w:hAnsi="仿宋" w:eastAsia="仿宋" w:cs="仿宋_GB2312"/>
          <w:sz w:val="24"/>
          <w:szCs w:val="24"/>
        </w:rPr>
        <w:t>1N</w:t>
      </w:r>
      <w:r>
        <w:rPr>
          <w:rFonts w:hint="eastAsia" w:ascii="仿宋" w:hAnsi="仿宋" w:eastAsia="仿宋" w:cs="仿宋_GB2312"/>
          <w:sz w:val="24"/>
          <w:szCs w:val="24"/>
        </w:rPr>
        <w:t>，开展</w:t>
      </w:r>
      <w:r>
        <w:rPr>
          <w:rFonts w:ascii="仿宋" w:hAnsi="仿宋" w:eastAsia="仿宋" w:cs="仿宋_GB2312"/>
          <w:sz w:val="24"/>
          <w:szCs w:val="24"/>
        </w:rPr>
        <w:t>10</w:t>
      </w:r>
      <w:r>
        <w:rPr>
          <w:rFonts w:hint="eastAsia" w:ascii="仿宋" w:hAnsi="仿宋" w:eastAsia="仿宋" w:cs="仿宋_GB2312"/>
          <w:sz w:val="24"/>
          <w:szCs w:val="24"/>
        </w:rPr>
        <w:t>例以上的临床测试；足部辅具实现</w:t>
      </w:r>
      <w:r>
        <w:rPr>
          <w:rFonts w:ascii="仿宋" w:hAnsi="仿宋" w:eastAsia="仿宋" w:cs="仿宋_GB2312"/>
          <w:sz w:val="24"/>
          <w:szCs w:val="24"/>
        </w:rPr>
        <w:t>3</w:t>
      </w:r>
      <w:r>
        <w:rPr>
          <w:rFonts w:hint="eastAsia" w:ascii="仿宋" w:hAnsi="仿宋" w:eastAsia="仿宋" w:cs="仿宋_GB2312"/>
          <w:sz w:val="24"/>
          <w:szCs w:val="24"/>
        </w:rPr>
        <w:t>种以上功能参数实时监测和</w:t>
      </w:r>
      <w:r>
        <w:rPr>
          <w:rFonts w:ascii="仿宋" w:hAnsi="仿宋" w:eastAsia="仿宋" w:cs="仿宋_GB2312"/>
          <w:sz w:val="24"/>
          <w:szCs w:val="24"/>
        </w:rPr>
        <w:t>3</w:t>
      </w:r>
      <w:r>
        <w:rPr>
          <w:rFonts w:hint="eastAsia" w:ascii="仿宋" w:hAnsi="仿宋" w:eastAsia="仿宋" w:cs="仿宋_GB2312"/>
          <w:sz w:val="24"/>
          <w:szCs w:val="24"/>
        </w:rPr>
        <w:t>种以上主动防护功能，开展不少于</w:t>
      </w:r>
      <w:r>
        <w:rPr>
          <w:rFonts w:ascii="仿宋" w:hAnsi="仿宋" w:eastAsia="仿宋" w:cs="仿宋_GB2312"/>
          <w:sz w:val="24"/>
          <w:szCs w:val="24"/>
        </w:rPr>
        <w:t>200</w:t>
      </w:r>
      <w:r>
        <w:rPr>
          <w:rFonts w:hint="eastAsia" w:ascii="仿宋" w:hAnsi="仿宋" w:eastAsia="仿宋" w:cs="仿宋_GB2312"/>
          <w:sz w:val="24"/>
          <w:szCs w:val="24"/>
        </w:rPr>
        <w:t>例的应用验证。</w:t>
      </w:r>
      <w:r>
        <w:rPr>
          <w:rFonts w:ascii="仿宋" w:hAnsi="仿宋" w:eastAsia="仿宋" w:cs="仿宋_GB2312"/>
          <w:sz w:val="24"/>
          <w:szCs w:val="24"/>
        </w:rPr>
        <w:t>3</w:t>
      </w:r>
      <w:r>
        <w:rPr>
          <w:rFonts w:hint="eastAsia" w:ascii="仿宋" w:hAnsi="仿宋" w:eastAsia="仿宋" w:cs="仿宋_GB2312"/>
          <w:sz w:val="24"/>
          <w:szCs w:val="24"/>
        </w:rPr>
        <w:t>种以上产品通过国家级质检中心检测，形成</w:t>
      </w:r>
      <w:r>
        <w:rPr>
          <w:rFonts w:ascii="仿宋" w:hAnsi="仿宋" w:eastAsia="仿宋" w:cs="仿宋_GB2312"/>
          <w:sz w:val="24"/>
          <w:szCs w:val="24"/>
        </w:rPr>
        <w:t>3</w:t>
      </w:r>
      <w:r>
        <w:rPr>
          <w:rFonts w:hint="eastAsia" w:ascii="仿宋" w:hAnsi="仿宋" w:eastAsia="仿宋" w:cs="仿宋_GB2312"/>
          <w:sz w:val="24"/>
          <w:szCs w:val="24"/>
        </w:rPr>
        <w:t>项以上国家标准或行业标准，申请</w:t>
      </w:r>
      <w:r>
        <w:rPr>
          <w:rFonts w:ascii="仿宋" w:hAnsi="仿宋" w:eastAsia="仿宋" w:cs="仿宋_GB2312"/>
          <w:sz w:val="24"/>
          <w:szCs w:val="24"/>
        </w:rPr>
        <w:t>/</w:t>
      </w:r>
      <w:r>
        <w:rPr>
          <w:rFonts w:hint="eastAsia" w:ascii="仿宋" w:hAnsi="仿宋" w:eastAsia="仿宋" w:cs="仿宋_GB2312"/>
          <w:sz w:val="24"/>
          <w:szCs w:val="24"/>
        </w:rPr>
        <w:t>获得</w:t>
      </w:r>
      <w:r>
        <w:rPr>
          <w:rFonts w:ascii="仿宋" w:hAnsi="仿宋" w:eastAsia="仿宋" w:cs="仿宋_GB2312"/>
          <w:sz w:val="24"/>
          <w:szCs w:val="24"/>
        </w:rPr>
        <w:t>15</w:t>
      </w:r>
      <w:r>
        <w:rPr>
          <w:rFonts w:hint="eastAsia" w:ascii="仿宋" w:hAnsi="仿宋" w:eastAsia="仿宋" w:cs="仿宋_GB2312"/>
          <w:sz w:val="24"/>
          <w:szCs w:val="24"/>
        </w:rPr>
        <w:t>项以上核心发明专利。</w:t>
      </w:r>
    </w:p>
    <w:p>
      <w:pPr>
        <w:adjustRightInd w:val="0"/>
        <w:snapToGrid w:val="0"/>
        <w:spacing w:before="156" w:beforeLines="50" w:after="156" w:afterLines="50" w:line="360" w:lineRule="auto"/>
        <w:ind w:firstLine="472" w:firstLineChars="196"/>
        <w:rPr>
          <w:rFonts w:ascii="仿宋" w:hAnsi="仿宋" w:eastAsia="仿宋"/>
          <w:b/>
          <w:bCs/>
          <w:sz w:val="24"/>
          <w:szCs w:val="24"/>
        </w:rPr>
      </w:pPr>
      <w:r>
        <w:rPr>
          <w:rFonts w:hint="eastAsia" w:ascii="仿宋" w:hAnsi="仿宋" w:eastAsia="仿宋" w:cs="仿宋_GB2312"/>
          <w:b/>
          <w:bCs/>
          <w:sz w:val="24"/>
          <w:szCs w:val="24"/>
        </w:rPr>
        <w:t>支持年限：</w:t>
      </w:r>
      <w:r>
        <w:rPr>
          <w:rFonts w:ascii="仿宋" w:hAnsi="仿宋" w:eastAsia="仿宋" w:cs="仿宋_GB2312"/>
          <w:sz w:val="24"/>
          <w:szCs w:val="24"/>
        </w:rPr>
        <w:t>2018-2022</w:t>
      </w:r>
      <w:r>
        <w:rPr>
          <w:rFonts w:hint="eastAsia" w:ascii="仿宋" w:hAnsi="仿宋" w:eastAsia="仿宋" w:cs="仿宋_GB2312"/>
          <w:sz w:val="24"/>
          <w:szCs w:val="24"/>
        </w:rPr>
        <w:t>年</w:t>
      </w:r>
    </w:p>
    <w:p>
      <w:pPr>
        <w:adjustRightInd w:val="0"/>
        <w:snapToGrid w:val="0"/>
        <w:spacing w:before="156" w:beforeLines="50" w:after="156" w:afterLines="50" w:line="360" w:lineRule="auto"/>
        <w:ind w:firstLine="472" w:firstLineChars="196"/>
        <w:rPr>
          <w:rFonts w:ascii="仿宋" w:hAnsi="仿宋" w:eastAsia="仿宋"/>
          <w:b/>
          <w:bCs/>
          <w:sz w:val="24"/>
          <w:szCs w:val="24"/>
        </w:rPr>
      </w:pPr>
      <w:r>
        <w:rPr>
          <w:rFonts w:hint="eastAsia" w:ascii="仿宋" w:hAnsi="仿宋" w:eastAsia="仿宋" w:cs="仿宋_GB2312"/>
          <w:b/>
          <w:bCs/>
          <w:sz w:val="24"/>
          <w:szCs w:val="24"/>
        </w:rPr>
        <w:t>拟支持项目数：</w:t>
      </w:r>
      <w:r>
        <w:rPr>
          <w:rFonts w:ascii="仿宋" w:hAnsi="仿宋" w:eastAsia="仿宋" w:cs="仿宋_GB2312"/>
          <w:sz w:val="24"/>
          <w:szCs w:val="24"/>
        </w:rPr>
        <w:t>1-2</w:t>
      </w:r>
      <w:r>
        <w:rPr>
          <w:rFonts w:hint="eastAsia" w:ascii="仿宋" w:hAnsi="仿宋" w:eastAsia="仿宋" w:cs="仿宋_GB2312"/>
          <w:sz w:val="24"/>
          <w:szCs w:val="24"/>
        </w:rPr>
        <w:t>项</w:t>
      </w:r>
    </w:p>
    <w:p>
      <w:pPr>
        <w:adjustRightInd w:val="0"/>
        <w:snapToGrid w:val="0"/>
        <w:spacing w:before="156" w:beforeLines="50" w:after="156" w:afterLines="50" w:line="360" w:lineRule="auto"/>
        <w:ind w:firstLine="472" w:firstLineChars="196"/>
        <w:rPr>
          <w:rFonts w:ascii="仿宋" w:hAnsi="仿宋" w:eastAsia="仿宋"/>
          <w:sz w:val="24"/>
          <w:szCs w:val="24"/>
        </w:rPr>
      </w:pPr>
      <w:r>
        <w:rPr>
          <w:rFonts w:hint="eastAsia" w:ascii="仿宋" w:hAnsi="仿宋" w:eastAsia="仿宋" w:cs="仿宋_GB2312"/>
          <w:b/>
          <w:bCs/>
          <w:sz w:val="24"/>
          <w:szCs w:val="24"/>
        </w:rPr>
        <w:t>有关说明：</w:t>
      </w:r>
      <w:r>
        <w:rPr>
          <w:rFonts w:hint="eastAsia" w:ascii="仿宋" w:hAnsi="仿宋" w:eastAsia="仿宋" w:cs="仿宋_GB2312"/>
          <w:sz w:val="24"/>
          <w:szCs w:val="24"/>
        </w:rPr>
        <w:t>牵头单位应具备相关基础和研究条件，要求产、学、研、医、检、适配等优势单位联合申报。其他经费（包括地方财政经费、单位出资及社会渠道资金等）与中央财政经费比例不低于3</w:t>
      </w:r>
      <w:r>
        <w:rPr>
          <w:rFonts w:ascii="仿宋" w:hAnsi="仿宋" w:eastAsia="仿宋" w:cs="仿宋_GB2312"/>
          <w:sz w:val="24"/>
          <w:szCs w:val="24"/>
        </w:rPr>
        <w:t>:1</w:t>
      </w:r>
      <w:r>
        <w:rPr>
          <w:rFonts w:hint="eastAsia" w:ascii="仿宋" w:hAnsi="仿宋" w:eastAsia="仿宋" w:cs="仿宋_GB2312"/>
          <w:sz w:val="24"/>
          <w:szCs w:val="24"/>
        </w:rPr>
        <w:t>。</w:t>
      </w:r>
    </w:p>
    <w:p>
      <w:pPr>
        <w:adjustRightInd w:val="0"/>
        <w:snapToGrid w:val="0"/>
        <w:spacing w:before="156" w:beforeLines="50" w:after="156" w:afterLines="50" w:line="360" w:lineRule="auto"/>
        <w:ind w:firstLine="470" w:firstLineChars="196"/>
        <w:rPr>
          <w:rFonts w:ascii="仿宋" w:hAnsi="仿宋" w:eastAsia="仿宋"/>
          <w:sz w:val="24"/>
          <w:szCs w:val="24"/>
        </w:rPr>
      </w:pPr>
    </w:p>
    <w:p>
      <w:pPr>
        <w:pStyle w:val="4"/>
        <w:adjustRightInd w:val="0"/>
        <w:snapToGrid w:val="0"/>
        <w:spacing w:before="156" w:beforeLines="50" w:after="156" w:afterLines="50" w:line="360" w:lineRule="auto"/>
        <w:rPr>
          <w:rFonts w:ascii="仿宋" w:hAnsi="仿宋" w:eastAsia="仿宋"/>
          <w:sz w:val="24"/>
          <w:szCs w:val="24"/>
        </w:rPr>
      </w:pPr>
      <w:r>
        <w:rPr>
          <w:rFonts w:hint="eastAsia" w:ascii="仿宋" w:hAnsi="仿宋" w:eastAsia="仿宋"/>
          <w:sz w:val="24"/>
          <w:szCs w:val="24"/>
        </w:rPr>
        <w:t>2.2.7虚拟现实康复训练技术与系统</w:t>
      </w:r>
    </w:p>
    <w:p>
      <w:pPr>
        <w:adjustRightInd w:val="0"/>
        <w:snapToGrid w:val="0"/>
        <w:spacing w:before="156" w:beforeLines="50" w:after="156" w:afterLines="50" w:line="360" w:lineRule="auto"/>
        <w:ind w:firstLine="472" w:firstLineChars="196"/>
        <w:rPr>
          <w:rFonts w:ascii="仿宋" w:hAnsi="仿宋" w:eastAsia="仿宋"/>
          <w:sz w:val="24"/>
          <w:szCs w:val="24"/>
        </w:rPr>
      </w:pPr>
      <w:r>
        <w:rPr>
          <w:rFonts w:hint="eastAsia" w:ascii="仿宋" w:hAnsi="仿宋" w:eastAsia="仿宋" w:cs="仿宋_GB2312"/>
          <w:b/>
          <w:bCs/>
          <w:sz w:val="24"/>
          <w:szCs w:val="24"/>
        </w:rPr>
        <w:t>研究内容：</w:t>
      </w:r>
      <w:r>
        <w:rPr>
          <w:rFonts w:hint="eastAsia" w:ascii="仿宋" w:hAnsi="仿宋" w:eastAsia="仿宋" w:cs="仿宋_GB2312"/>
          <w:sz w:val="24"/>
          <w:szCs w:val="24"/>
        </w:rPr>
        <w:t>面向脑卒中患者、脑瘫儿童、老年人等特殊人群的运动和日常行为能力评价与康复训练需求，研究视、听、触、运动一体化的虚实融合人机交互技术及生物力学仿真技术；研制具有运动功能定量评估、康复任务个性化设置及自适应调整、肌肉响应及力触觉实时反馈、虚拟场景及训练环境智能调控等功能的虚拟现实康复训练系统；制订运动康复评价与训练领域虚拟现实技术应用规范和标准；开展相应的临床示范应用。</w:t>
      </w:r>
    </w:p>
    <w:p>
      <w:pPr>
        <w:adjustRightInd w:val="0"/>
        <w:snapToGrid w:val="0"/>
        <w:spacing w:before="156" w:beforeLines="50" w:after="156" w:afterLines="50" w:line="360" w:lineRule="auto"/>
        <w:ind w:firstLine="472" w:firstLineChars="196"/>
        <w:rPr>
          <w:rFonts w:ascii="仿宋" w:hAnsi="仿宋" w:eastAsia="仿宋"/>
          <w:sz w:val="24"/>
          <w:szCs w:val="24"/>
        </w:rPr>
      </w:pPr>
      <w:r>
        <w:rPr>
          <w:rFonts w:hint="eastAsia" w:ascii="仿宋" w:hAnsi="仿宋" w:eastAsia="仿宋" w:cs="仿宋_GB2312"/>
          <w:b/>
          <w:bCs/>
          <w:sz w:val="24"/>
          <w:szCs w:val="24"/>
        </w:rPr>
        <w:t>考核指标：</w:t>
      </w:r>
      <w:r>
        <w:rPr>
          <w:rFonts w:hint="eastAsia" w:ascii="仿宋" w:hAnsi="仿宋" w:eastAsia="仿宋" w:cs="仿宋_GB2312"/>
          <w:sz w:val="24"/>
          <w:szCs w:val="24"/>
        </w:rPr>
        <w:t>突破人体运动与行为高效建模、力触觉实时反馈与定量评估等关键技术，研制虚拟现实康复训练系统</w:t>
      </w:r>
      <w:r>
        <w:rPr>
          <w:rFonts w:ascii="仿宋" w:hAnsi="仿宋" w:eastAsia="仿宋" w:cs="仿宋_GB2312"/>
          <w:sz w:val="24"/>
          <w:szCs w:val="24"/>
        </w:rPr>
        <w:t>3</w:t>
      </w:r>
      <w:r>
        <w:rPr>
          <w:rFonts w:hint="eastAsia" w:ascii="仿宋" w:hAnsi="仿宋" w:eastAsia="仿宋" w:cs="仿宋_GB2312"/>
          <w:sz w:val="24"/>
          <w:szCs w:val="24"/>
        </w:rPr>
        <w:t>种；包含虚拟场景不少于</w:t>
      </w:r>
      <w:r>
        <w:rPr>
          <w:rFonts w:ascii="仿宋" w:hAnsi="仿宋" w:eastAsia="仿宋" w:cs="仿宋_GB2312"/>
          <w:sz w:val="24"/>
          <w:szCs w:val="24"/>
        </w:rPr>
        <w:t>10</w:t>
      </w:r>
      <w:r>
        <w:rPr>
          <w:rFonts w:hint="eastAsia" w:ascii="仿宋" w:hAnsi="仿宋" w:eastAsia="仿宋" w:cs="仿宋_GB2312"/>
          <w:sz w:val="24"/>
          <w:szCs w:val="24"/>
        </w:rPr>
        <w:t>个，适用于</w:t>
      </w:r>
      <w:r>
        <w:rPr>
          <w:rFonts w:ascii="仿宋" w:hAnsi="仿宋" w:eastAsia="仿宋" w:cs="仿宋_GB2312"/>
          <w:sz w:val="24"/>
          <w:szCs w:val="24"/>
        </w:rPr>
        <w:t>5</w:t>
      </w:r>
      <w:r>
        <w:rPr>
          <w:rFonts w:hint="eastAsia" w:ascii="仿宋" w:hAnsi="仿宋" w:eastAsia="仿宋" w:cs="仿宋_GB2312"/>
          <w:sz w:val="24"/>
          <w:szCs w:val="24"/>
        </w:rPr>
        <w:t>种以上功能障碍康复需求；单机系统可支持</w:t>
      </w:r>
      <w:r>
        <w:rPr>
          <w:rFonts w:ascii="仿宋" w:hAnsi="仿宋" w:eastAsia="仿宋" w:cs="仿宋_GB2312"/>
          <w:sz w:val="24"/>
          <w:szCs w:val="24"/>
        </w:rPr>
        <w:t>1000</w:t>
      </w:r>
      <w:r>
        <w:rPr>
          <w:rFonts w:hint="eastAsia" w:ascii="仿宋" w:hAnsi="仿宋" w:eastAsia="仿宋" w:cs="仿宋_GB2312"/>
          <w:sz w:val="24"/>
          <w:szCs w:val="24"/>
        </w:rPr>
        <w:t>万三角面片场景、</w:t>
      </w:r>
      <w:r>
        <w:rPr>
          <w:rFonts w:ascii="仿宋" w:hAnsi="仿宋" w:eastAsia="仿宋" w:cs="仿宋_GB2312"/>
          <w:sz w:val="24"/>
          <w:szCs w:val="24"/>
        </w:rPr>
        <w:t>4K</w:t>
      </w:r>
      <w:r>
        <w:rPr>
          <w:rFonts w:hint="eastAsia" w:ascii="仿宋" w:hAnsi="仿宋" w:eastAsia="仿宋" w:cs="仿宋_GB2312"/>
          <w:sz w:val="24"/>
          <w:szCs w:val="24"/>
        </w:rPr>
        <w:t>分辨率、</w:t>
      </w:r>
      <w:r>
        <w:rPr>
          <w:rFonts w:ascii="仿宋" w:hAnsi="仿宋" w:eastAsia="仿宋" w:cs="仿宋_GB2312"/>
          <w:sz w:val="24"/>
          <w:szCs w:val="24"/>
        </w:rPr>
        <w:t>90fps</w:t>
      </w:r>
      <w:r>
        <w:rPr>
          <w:rFonts w:hint="eastAsia" w:ascii="仿宋" w:hAnsi="仿宋" w:eastAsia="仿宋" w:cs="仿宋_GB2312"/>
          <w:sz w:val="24"/>
          <w:szCs w:val="24"/>
        </w:rPr>
        <w:t>的实时绘制；交互行为识别率大于</w:t>
      </w:r>
      <w:r>
        <w:rPr>
          <w:rFonts w:ascii="仿宋" w:hAnsi="仿宋" w:eastAsia="仿宋" w:cs="仿宋_GB2312"/>
          <w:sz w:val="24"/>
          <w:szCs w:val="24"/>
        </w:rPr>
        <w:t xml:space="preserve"> 90%</w:t>
      </w:r>
      <w:r>
        <w:rPr>
          <w:rFonts w:hint="eastAsia" w:ascii="仿宋" w:hAnsi="仿宋" w:eastAsia="仿宋" w:cs="仿宋_GB2312"/>
          <w:sz w:val="24"/>
          <w:szCs w:val="24"/>
        </w:rPr>
        <w:t>，触力觉反馈的准确率达到</w:t>
      </w:r>
      <w:r>
        <w:rPr>
          <w:rFonts w:ascii="仿宋" w:hAnsi="仿宋" w:eastAsia="仿宋" w:cs="仿宋_GB2312"/>
          <w:sz w:val="24"/>
          <w:szCs w:val="24"/>
        </w:rPr>
        <w:t>90%</w:t>
      </w:r>
      <w:r>
        <w:rPr>
          <w:rFonts w:hint="eastAsia" w:ascii="仿宋" w:hAnsi="仿宋" w:eastAsia="仿宋" w:cs="仿宋_GB2312"/>
          <w:sz w:val="24"/>
          <w:szCs w:val="24"/>
        </w:rPr>
        <w:t>，人体运动和行为模拟的物理可信度大于</w:t>
      </w:r>
      <w:r>
        <w:rPr>
          <w:rFonts w:ascii="仿宋" w:hAnsi="仿宋" w:eastAsia="仿宋" w:cs="仿宋_GB2312"/>
          <w:sz w:val="24"/>
          <w:szCs w:val="24"/>
        </w:rPr>
        <w:t>90%</w:t>
      </w:r>
      <w:r>
        <w:rPr>
          <w:rFonts w:hint="eastAsia" w:ascii="仿宋" w:hAnsi="仿宋" w:eastAsia="仿宋" w:cs="仿宋_GB2312"/>
          <w:sz w:val="24"/>
          <w:szCs w:val="24"/>
        </w:rPr>
        <w:t>；定量区分上肢</w:t>
      </w:r>
      <w:r>
        <w:rPr>
          <w:rFonts w:ascii="仿宋" w:hAnsi="仿宋" w:eastAsia="仿宋" w:cs="仿宋_GB2312"/>
          <w:sz w:val="24"/>
          <w:szCs w:val="24"/>
        </w:rPr>
        <w:t>5</w:t>
      </w:r>
      <w:r>
        <w:rPr>
          <w:rFonts w:hint="eastAsia" w:ascii="仿宋" w:hAnsi="仿宋" w:eastAsia="仿宋" w:cs="仿宋_GB2312"/>
          <w:sz w:val="24"/>
          <w:szCs w:val="24"/>
        </w:rPr>
        <w:t>个主要肌群和下肢</w:t>
      </w:r>
      <w:r>
        <w:rPr>
          <w:rFonts w:ascii="仿宋" w:hAnsi="仿宋" w:eastAsia="仿宋" w:cs="仿宋_GB2312"/>
          <w:sz w:val="24"/>
          <w:szCs w:val="24"/>
        </w:rPr>
        <w:t>7</w:t>
      </w:r>
      <w:r>
        <w:rPr>
          <w:rFonts w:hint="eastAsia" w:ascii="仿宋" w:hAnsi="仿宋" w:eastAsia="仿宋" w:cs="仿宋_GB2312"/>
          <w:sz w:val="24"/>
          <w:szCs w:val="24"/>
        </w:rPr>
        <w:t>个主要肌群的肌肉力，时间分辨率高于</w:t>
      </w:r>
      <w:r>
        <w:rPr>
          <w:rFonts w:ascii="仿宋" w:hAnsi="仿宋" w:eastAsia="仿宋" w:cs="仿宋_GB2312"/>
          <w:sz w:val="24"/>
          <w:szCs w:val="24"/>
        </w:rPr>
        <w:t>1s</w:t>
      </w:r>
      <w:r>
        <w:rPr>
          <w:rFonts w:hint="eastAsia" w:ascii="仿宋" w:hAnsi="仿宋" w:eastAsia="仿宋" w:cs="仿宋_GB2312"/>
          <w:sz w:val="24"/>
          <w:szCs w:val="24"/>
        </w:rPr>
        <w:t>；产品通过国家级质检中心检测，制订虚拟现实技术应用规范和标准</w:t>
      </w:r>
      <w:r>
        <w:rPr>
          <w:rFonts w:ascii="仿宋" w:hAnsi="仿宋" w:eastAsia="仿宋" w:cs="仿宋_GB2312"/>
          <w:sz w:val="24"/>
          <w:szCs w:val="24"/>
        </w:rPr>
        <w:t>2</w:t>
      </w:r>
      <w:r>
        <w:rPr>
          <w:rFonts w:hint="eastAsia" w:ascii="仿宋" w:hAnsi="仿宋" w:eastAsia="仿宋" w:cs="仿宋_GB2312"/>
          <w:sz w:val="24"/>
          <w:szCs w:val="24"/>
        </w:rPr>
        <w:t>个，开展临床测试不少于</w:t>
      </w:r>
      <w:r>
        <w:rPr>
          <w:rFonts w:ascii="仿宋" w:hAnsi="仿宋" w:eastAsia="仿宋" w:cs="仿宋_GB2312"/>
          <w:sz w:val="24"/>
          <w:szCs w:val="24"/>
        </w:rPr>
        <w:t>300</w:t>
      </w:r>
      <w:r>
        <w:rPr>
          <w:rFonts w:hint="eastAsia" w:ascii="仿宋" w:hAnsi="仿宋" w:eastAsia="仿宋" w:cs="仿宋_GB2312"/>
          <w:sz w:val="24"/>
          <w:szCs w:val="24"/>
        </w:rPr>
        <w:t>例；申请</w:t>
      </w:r>
      <w:r>
        <w:rPr>
          <w:rFonts w:ascii="仿宋" w:hAnsi="仿宋" w:eastAsia="仿宋" w:cs="仿宋_GB2312"/>
          <w:sz w:val="24"/>
          <w:szCs w:val="24"/>
        </w:rPr>
        <w:t>/</w:t>
      </w:r>
      <w:r>
        <w:rPr>
          <w:rFonts w:hint="eastAsia" w:ascii="仿宋" w:hAnsi="仿宋" w:eastAsia="仿宋" w:cs="仿宋_GB2312"/>
          <w:sz w:val="24"/>
          <w:szCs w:val="24"/>
        </w:rPr>
        <w:t>获得不少于</w:t>
      </w:r>
      <w:r>
        <w:rPr>
          <w:rFonts w:ascii="仿宋" w:hAnsi="仿宋" w:eastAsia="仿宋" w:cs="仿宋_GB2312"/>
          <w:sz w:val="24"/>
          <w:szCs w:val="24"/>
        </w:rPr>
        <w:t>15</w:t>
      </w:r>
      <w:r>
        <w:rPr>
          <w:rFonts w:hint="eastAsia" w:ascii="仿宋" w:hAnsi="仿宋" w:eastAsia="仿宋" w:cs="仿宋_GB2312"/>
          <w:sz w:val="24"/>
          <w:szCs w:val="24"/>
        </w:rPr>
        <w:t>项国家或国际专利。</w:t>
      </w:r>
    </w:p>
    <w:p>
      <w:pPr>
        <w:adjustRightInd w:val="0"/>
        <w:snapToGrid w:val="0"/>
        <w:spacing w:before="156" w:beforeLines="50" w:after="156" w:afterLines="50" w:line="360" w:lineRule="auto"/>
        <w:ind w:firstLine="472" w:firstLineChars="196"/>
        <w:rPr>
          <w:rFonts w:ascii="仿宋" w:hAnsi="仿宋" w:eastAsia="仿宋"/>
          <w:b/>
          <w:bCs/>
          <w:sz w:val="24"/>
          <w:szCs w:val="24"/>
        </w:rPr>
      </w:pPr>
      <w:r>
        <w:rPr>
          <w:rFonts w:hint="eastAsia" w:ascii="仿宋" w:hAnsi="仿宋" w:eastAsia="仿宋" w:cs="仿宋_GB2312"/>
          <w:b/>
          <w:bCs/>
          <w:sz w:val="24"/>
          <w:szCs w:val="24"/>
        </w:rPr>
        <w:t>支持年限：</w:t>
      </w:r>
      <w:r>
        <w:rPr>
          <w:rFonts w:ascii="仿宋" w:hAnsi="仿宋" w:eastAsia="仿宋" w:cs="仿宋_GB2312"/>
          <w:sz w:val="24"/>
          <w:szCs w:val="24"/>
        </w:rPr>
        <w:t>2018-2022</w:t>
      </w:r>
      <w:r>
        <w:rPr>
          <w:rFonts w:hint="eastAsia" w:ascii="仿宋" w:hAnsi="仿宋" w:eastAsia="仿宋" w:cs="仿宋_GB2312"/>
          <w:sz w:val="24"/>
          <w:szCs w:val="24"/>
        </w:rPr>
        <w:t>年</w:t>
      </w:r>
    </w:p>
    <w:p>
      <w:pPr>
        <w:adjustRightInd w:val="0"/>
        <w:snapToGrid w:val="0"/>
        <w:spacing w:before="156" w:beforeLines="50" w:after="156" w:afterLines="50" w:line="360" w:lineRule="auto"/>
        <w:ind w:firstLine="472" w:firstLineChars="196"/>
        <w:rPr>
          <w:rFonts w:ascii="仿宋" w:hAnsi="仿宋" w:eastAsia="仿宋"/>
          <w:b/>
          <w:bCs/>
          <w:sz w:val="24"/>
          <w:szCs w:val="24"/>
        </w:rPr>
      </w:pPr>
      <w:r>
        <w:rPr>
          <w:rFonts w:hint="eastAsia" w:ascii="仿宋" w:hAnsi="仿宋" w:eastAsia="仿宋" w:cs="仿宋_GB2312"/>
          <w:b/>
          <w:bCs/>
          <w:sz w:val="24"/>
          <w:szCs w:val="24"/>
        </w:rPr>
        <w:t>拟支持项目数：</w:t>
      </w:r>
      <w:r>
        <w:rPr>
          <w:rFonts w:ascii="仿宋" w:hAnsi="仿宋" w:eastAsia="仿宋" w:cs="仿宋_GB2312"/>
          <w:sz w:val="24"/>
          <w:szCs w:val="24"/>
        </w:rPr>
        <w:t>1-2</w:t>
      </w:r>
      <w:r>
        <w:rPr>
          <w:rFonts w:hint="eastAsia" w:ascii="仿宋" w:hAnsi="仿宋" w:eastAsia="仿宋" w:cs="仿宋_GB2312"/>
          <w:sz w:val="24"/>
          <w:szCs w:val="24"/>
        </w:rPr>
        <w:t>项</w:t>
      </w:r>
    </w:p>
    <w:p>
      <w:pPr>
        <w:adjustRightInd w:val="0"/>
        <w:snapToGrid w:val="0"/>
        <w:spacing w:before="156" w:beforeLines="50" w:after="156" w:afterLines="50" w:line="360" w:lineRule="auto"/>
        <w:ind w:firstLine="472" w:firstLineChars="196"/>
        <w:rPr>
          <w:rFonts w:ascii="仿宋" w:hAnsi="仿宋" w:eastAsia="仿宋" w:cs="仿宋_GB2312"/>
          <w:sz w:val="24"/>
          <w:szCs w:val="24"/>
        </w:rPr>
      </w:pPr>
      <w:r>
        <w:rPr>
          <w:rFonts w:hint="eastAsia" w:ascii="仿宋" w:hAnsi="仿宋" w:eastAsia="仿宋" w:cs="仿宋_GB2312"/>
          <w:b/>
          <w:bCs/>
          <w:sz w:val="24"/>
          <w:szCs w:val="24"/>
        </w:rPr>
        <w:t>有关说明：</w:t>
      </w:r>
      <w:r>
        <w:rPr>
          <w:rFonts w:hint="eastAsia" w:ascii="仿宋" w:hAnsi="仿宋" w:eastAsia="仿宋" w:cs="仿宋_GB2312"/>
          <w:sz w:val="24"/>
          <w:szCs w:val="24"/>
        </w:rPr>
        <w:t>牵头单位应具备相关基础和研究条件，要求产、学、研、医、检等优势单位联合申报。其他经费（包括地方财政经费、单位出资及社会渠道资金等）与中央财政经费比例不低于3</w:t>
      </w:r>
      <w:r>
        <w:rPr>
          <w:rFonts w:ascii="仿宋" w:hAnsi="仿宋" w:eastAsia="仿宋" w:cs="仿宋_GB2312"/>
          <w:sz w:val="24"/>
          <w:szCs w:val="24"/>
        </w:rPr>
        <w:t>:1</w:t>
      </w:r>
      <w:r>
        <w:rPr>
          <w:rFonts w:hint="eastAsia" w:ascii="仿宋" w:hAnsi="仿宋" w:eastAsia="仿宋" w:cs="仿宋_GB2312"/>
          <w:sz w:val="24"/>
          <w:szCs w:val="24"/>
        </w:rPr>
        <w:t>。</w:t>
      </w:r>
    </w:p>
    <w:p>
      <w:pPr>
        <w:adjustRightInd w:val="0"/>
        <w:snapToGrid w:val="0"/>
        <w:spacing w:before="156" w:beforeLines="50" w:after="156" w:afterLines="50" w:line="360" w:lineRule="auto"/>
        <w:ind w:firstLine="470" w:firstLineChars="196"/>
        <w:rPr>
          <w:rFonts w:ascii="仿宋" w:hAnsi="仿宋" w:eastAsia="仿宋"/>
          <w:sz w:val="24"/>
          <w:szCs w:val="24"/>
        </w:rPr>
      </w:pPr>
    </w:p>
    <w:p>
      <w:pPr>
        <w:pStyle w:val="4"/>
        <w:adjustRightInd w:val="0"/>
        <w:snapToGrid w:val="0"/>
        <w:spacing w:before="156" w:beforeLines="50" w:after="156" w:afterLines="50" w:line="360" w:lineRule="auto"/>
        <w:rPr>
          <w:rFonts w:ascii="仿宋" w:hAnsi="仿宋" w:eastAsia="仿宋"/>
          <w:sz w:val="24"/>
          <w:szCs w:val="24"/>
        </w:rPr>
      </w:pPr>
      <w:r>
        <w:rPr>
          <w:rFonts w:hint="eastAsia" w:ascii="仿宋" w:hAnsi="仿宋" w:eastAsia="仿宋"/>
          <w:sz w:val="24"/>
          <w:szCs w:val="24"/>
        </w:rPr>
        <w:t>2.2.8认知功能障碍康复训练系统</w:t>
      </w:r>
    </w:p>
    <w:p>
      <w:pPr>
        <w:adjustRightInd w:val="0"/>
        <w:snapToGrid w:val="0"/>
        <w:spacing w:before="156" w:beforeLines="50" w:after="156" w:afterLines="50" w:line="360" w:lineRule="auto"/>
        <w:ind w:firstLine="472" w:firstLineChars="196"/>
        <w:rPr>
          <w:rFonts w:ascii="仿宋" w:hAnsi="仿宋" w:eastAsia="仿宋"/>
          <w:b/>
          <w:bCs/>
          <w:sz w:val="24"/>
          <w:szCs w:val="24"/>
        </w:rPr>
      </w:pPr>
      <w:r>
        <w:rPr>
          <w:rFonts w:hint="eastAsia" w:ascii="仿宋" w:hAnsi="仿宋" w:eastAsia="仿宋" w:cs="仿宋_GB2312"/>
          <w:b/>
          <w:bCs/>
          <w:sz w:val="24"/>
          <w:szCs w:val="24"/>
        </w:rPr>
        <w:t>研究内容：</w:t>
      </w:r>
      <w:r>
        <w:rPr>
          <w:rFonts w:hint="eastAsia" w:ascii="仿宋" w:hAnsi="仿宋" w:eastAsia="仿宋" w:cs="仿宋_GB2312"/>
          <w:sz w:val="24"/>
          <w:szCs w:val="24"/>
        </w:rPr>
        <w:t>针对阿尔茨海默病等认知障碍人群，研究基于认知行为学测试、脑电、近红外、步态特征、智能传感等多信息融合的数据采集及在线自适应认知评估关键技术，研发新型穿戴式认知障碍评估设备；面向医院、社区和家庭，研制具备远程肢体执行能力、眼动注意力和脑功能变化的日常监测和数据采集、远程服务器端数据采集与专家团队远程接入分析等功能的智能认知康复训练系统。</w:t>
      </w:r>
    </w:p>
    <w:p>
      <w:pPr>
        <w:adjustRightInd w:val="0"/>
        <w:snapToGrid w:val="0"/>
        <w:spacing w:before="156" w:beforeLines="50" w:after="156" w:afterLines="50" w:line="360" w:lineRule="auto"/>
        <w:ind w:firstLine="472" w:firstLineChars="196"/>
        <w:rPr>
          <w:rFonts w:ascii="仿宋" w:hAnsi="仿宋" w:eastAsia="仿宋"/>
          <w:sz w:val="24"/>
          <w:szCs w:val="24"/>
        </w:rPr>
      </w:pPr>
      <w:r>
        <w:rPr>
          <w:rFonts w:hint="eastAsia" w:ascii="仿宋" w:hAnsi="仿宋" w:eastAsia="仿宋" w:cs="仿宋_GB2312"/>
          <w:b/>
          <w:bCs/>
          <w:sz w:val="24"/>
          <w:szCs w:val="24"/>
        </w:rPr>
        <w:t>考核指标：</w:t>
      </w:r>
      <w:r>
        <w:rPr>
          <w:rFonts w:hint="eastAsia" w:ascii="仿宋" w:hAnsi="仿宋" w:eastAsia="仿宋" w:cs="仿宋_GB2312"/>
          <w:sz w:val="24"/>
          <w:szCs w:val="24"/>
        </w:rPr>
        <w:t>突破多传感信息融合及在线自适应认知评估技术，研发针对阿尔茨海默病等老年认知障碍人群的认知康复训练系统。系统具备多信息早期识别、穿戴式数据采集和评估、线上线下认知康复训练和数据管理等功能，其中穿戴式认知障碍评估产品信效度＞</w:t>
      </w:r>
      <w:r>
        <w:rPr>
          <w:rFonts w:ascii="仿宋" w:hAnsi="仿宋" w:eastAsia="仿宋" w:cs="仿宋_GB2312"/>
          <w:sz w:val="24"/>
          <w:szCs w:val="24"/>
        </w:rPr>
        <w:t>85%</w:t>
      </w:r>
      <w:r>
        <w:rPr>
          <w:rFonts w:hint="eastAsia" w:ascii="仿宋" w:hAnsi="仿宋" w:eastAsia="仿宋" w:cs="仿宋_GB2312"/>
          <w:sz w:val="24"/>
          <w:szCs w:val="24"/>
        </w:rPr>
        <w:t>，具备脑电、近红外脑功能、步态特征等</w:t>
      </w:r>
      <w:r>
        <w:rPr>
          <w:rFonts w:ascii="仿宋" w:hAnsi="仿宋" w:eastAsia="仿宋" w:cs="仿宋_GB2312"/>
          <w:sz w:val="24"/>
          <w:szCs w:val="24"/>
        </w:rPr>
        <w:t>3</w:t>
      </w:r>
      <w:r>
        <w:rPr>
          <w:rFonts w:hint="eastAsia" w:ascii="仿宋" w:hAnsi="仿宋" w:eastAsia="仿宋" w:cs="仿宋_GB2312"/>
          <w:sz w:val="24"/>
          <w:szCs w:val="24"/>
        </w:rPr>
        <w:t>项以上客观指标分析功能，近红外脑功能分析指标不少于</w:t>
      </w:r>
      <w:r>
        <w:rPr>
          <w:rFonts w:ascii="仿宋" w:hAnsi="仿宋" w:eastAsia="仿宋" w:cs="仿宋_GB2312"/>
          <w:sz w:val="24"/>
          <w:szCs w:val="24"/>
        </w:rPr>
        <w:t>4</w:t>
      </w:r>
      <w:r>
        <w:rPr>
          <w:rFonts w:hint="eastAsia" w:ascii="仿宋" w:hAnsi="仿宋" w:eastAsia="仿宋" w:cs="仿宋_GB2312"/>
          <w:sz w:val="24"/>
          <w:szCs w:val="24"/>
        </w:rPr>
        <w:t>个生理频段，步态参数实时处理能力≥</w:t>
      </w:r>
      <w:r>
        <w:rPr>
          <w:rFonts w:ascii="仿宋" w:hAnsi="仿宋" w:eastAsia="仿宋" w:cs="仿宋_GB2312"/>
          <w:sz w:val="24"/>
          <w:szCs w:val="24"/>
        </w:rPr>
        <w:t>100</w:t>
      </w:r>
      <w:r>
        <w:rPr>
          <w:rFonts w:hint="eastAsia" w:ascii="仿宋" w:hAnsi="仿宋" w:eastAsia="仿宋" w:cs="仿宋_GB2312"/>
          <w:sz w:val="24"/>
          <w:szCs w:val="24"/>
        </w:rPr>
        <w:t>万条且误差小于</w:t>
      </w:r>
      <w:r>
        <w:rPr>
          <w:rFonts w:ascii="仿宋" w:hAnsi="仿宋" w:eastAsia="仿宋" w:cs="仿宋_GB2312"/>
          <w:sz w:val="24"/>
          <w:szCs w:val="24"/>
        </w:rPr>
        <w:t>2%</w:t>
      </w:r>
      <w:r>
        <w:rPr>
          <w:rFonts w:hint="eastAsia" w:ascii="仿宋" w:hAnsi="仿宋" w:eastAsia="仿宋" w:cs="仿宋_GB2312"/>
          <w:sz w:val="24"/>
          <w:szCs w:val="24"/>
        </w:rPr>
        <w:t>；认知康复训练系统具备肢体执行能力、脑功能和认知反应能力的实时监测功能，以及</w:t>
      </w:r>
      <w:r>
        <w:rPr>
          <w:rFonts w:ascii="仿宋" w:hAnsi="仿宋" w:eastAsia="仿宋" w:cs="仿宋_GB2312"/>
          <w:sz w:val="24"/>
          <w:szCs w:val="24"/>
        </w:rPr>
        <w:t>2</w:t>
      </w:r>
      <w:r>
        <w:rPr>
          <w:rFonts w:hint="eastAsia" w:ascii="仿宋" w:hAnsi="仿宋" w:eastAsia="仿宋" w:cs="仿宋_GB2312"/>
          <w:sz w:val="24"/>
          <w:szCs w:val="24"/>
        </w:rPr>
        <w:t>种以上任务融合和自适应学习功能；完成不少于</w:t>
      </w:r>
      <w:r>
        <w:rPr>
          <w:rFonts w:ascii="仿宋" w:hAnsi="仿宋" w:eastAsia="仿宋" w:cs="仿宋_GB2312"/>
          <w:sz w:val="24"/>
          <w:szCs w:val="24"/>
        </w:rPr>
        <w:t>1000</w:t>
      </w:r>
      <w:r>
        <w:rPr>
          <w:rFonts w:hint="eastAsia" w:ascii="仿宋" w:hAnsi="仿宋" w:eastAsia="仿宋" w:cs="仿宋_GB2312"/>
          <w:sz w:val="24"/>
          <w:szCs w:val="24"/>
        </w:rPr>
        <w:t>例的案例数据分析；</w:t>
      </w:r>
      <w:r>
        <w:rPr>
          <w:rFonts w:ascii="仿宋" w:hAnsi="仿宋" w:eastAsia="仿宋" w:cs="仿宋_GB2312"/>
          <w:bCs/>
          <w:sz w:val="24"/>
          <w:szCs w:val="24"/>
        </w:rPr>
        <w:t>建立</w:t>
      </w:r>
      <w:r>
        <w:rPr>
          <w:rFonts w:hint="eastAsia" w:ascii="仿宋" w:hAnsi="仿宋" w:eastAsia="仿宋"/>
          <w:sz w:val="24"/>
          <w:szCs w:val="24"/>
        </w:rPr>
        <w:t>认知功能障碍康复训练系统</w:t>
      </w:r>
      <w:r>
        <w:rPr>
          <w:rFonts w:ascii="仿宋" w:hAnsi="仿宋" w:eastAsia="仿宋" w:cs="仿宋_GB2312"/>
          <w:bCs/>
          <w:sz w:val="24"/>
          <w:szCs w:val="24"/>
        </w:rPr>
        <w:t>评</w:t>
      </w:r>
      <w:r>
        <w:rPr>
          <w:rFonts w:hint="eastAsia" w:ascii="仿宋" w:hAnsi="仿宋" w:eastAsia="仿宋" w:cs="仿宋_GB2312"/>
          <w:bCs/>
          <w:sz w:val="24"/>
          <w:szCs w:val="24"/>
        </w:rPr>
        <w:t>测</w:t>
      </w:r>
      <w:r>
        <w:rPr>
          <w:rFonts w:ascii="仿宋" w:hAnsi="仿宋" w:eastAsia="仿宋" w:cs="仿宋_GB2312"/>
          <w:bCs/>
          <w:sz w:val="24"/>
          <w:szCs w:val="24"/>
        </w:rPr>
        <w:t>技术</w:t>
      </w:r>
      <w:r>
        <w:rPr>
          <w:rFonts w:hint="eastAsia" w:ascii="仿宋" w:hAnsi="仿宋" w:eastAsia="仿宋" w:cs="仿宋_GB2312"/>
          <w:bCs/>
          <w:sz w:val="24"/>
          <w:szCs w:val="24"/>
        </w:rPr>
        <w:t>及</w:t>
      </w:r>
      <w:r>
        <w:rPr>
          <w:rFonts w:ascii="仿宋" w:hAnsi="仿宋" w:eastAsia="仿宋" w:cs="仿宋_GB2312"/>
          <w:bCs/>
          <w:sz w:val="24"/>
          <w:szCs w:val="24"/>
        </w:rPr>
        <w:t>规范；</w:t>
      </w:r>
      <w:r>
        <w:rPr>
          <w:rFonts w:hint="eastAsia" w:ascii="仿宋" w:hAnsi="仿宋" w:eastAsia="仿宋" w:cs="仿宋_GB2312"/>
          <w:sz w:val="24"/>
          <w:szCs w:val="24"/>
        </w:rPr>
        <w:t>申请</w:t>
      </w:r>
      <w:r>
        <w:rPr>
          <w:rFonts w:ascii="仿宋" w:hAnsi="仿宋" w:eastAsia="仿宋" w:cs="仿宋_GB2312"/>
          <w:sz w:val="24"/>
          <w:szCs w:val="24"/>
        </w:rPr>
        <w:t>/</w:t>
      </w:r>
      <w:r>
        <w:rPr>
          <w:rFonts w:hint="eastAsia" w:ascii="仿宋" w:hAnsi="仿宋" w:eastAsia="仿宋" w:cs="仿宋_GB2312"/>
          <w:sz w:val="24"/>
          <w:szCs w:val="24"/>
        </w:rPr>
        <w:t>获批</w:t>
      </w:r>
      <w:r>
        <w:rPr>
          <w:rFonts w:ascii="仿宋" w:hAnsi="仿宋" w:eastAsia="仿宋" w:cs="仿宋_GB2312"/>
          <w:sz w:val="24"/>
          <w:szCs w:val="24"/>
        </w:rPr>
        <w:t>6</w:t>
      </w:r>
      <w:r>
        <w:rPr>
          <w:rFonts w:hint="eastAsia" w:ascii="仿宋" w:hAnsi="仿宋" w:eastAsia="仿宋" w:cs="仿宋_GB2312"/>
          <w:sz w:val="24"/>
          <w:szCs w:val="24"/>
        </w:rPr>
        <w:t>项以上发明专利。</w:t>
      </w:r>
    </w:p>
    <w:p>
      <w:pPr>
        <w:adjustRightInd w:val="0"/>
        <w:snapToGrid w:val="0"/>
        <w:spacing w:before="156" w:beforeLines="50" w:after="156" w:afterLines="50" w:line="360" w:lineRule="auto"/>
        <w:ind w:firstLine="472" w:firstLineChars="196"/>
        <w:rPr>
          <w:rFonts w:ascii="仿宋" w:hAnsi="仿宋" w:eastAsia="仿宋"/>
          <w:sz w:val="24"/>
          <w:szCs w:val="24"/>
        </w:rPr>
      </w:pPr>
      <w:r>
        <w:rPr>
          <w:rFonts w:hint="eastAsia" w:ascii="仿宋" w:hAnsi="仿宋" w:eastAsia="仿宋" w:cs="仿宋_GB2312"/>
          <w:b/>
          <w:bCs/>
          <w:sz w:val="24"/>
          <w:szCs w:val="24"/>
        </w:rPr>
        <w:t>支持年限：</w:t>
      </w:r>
      <w:r>
        <w:rPr>
          <w:rFonts w:ascii="仿宋" w:hAnsi="仿宋" w:eastAsia="仿宋" w:cs="仿宋_GB2312"/>
          <w:sz w:val="24"/>
          <w:szCs w:val="24"/>
        </w:rPr>
        <w:t>2018-2022</w:t>
      </w:r>
      <w:r>
        <w:rPr>
          <w:rFonts w:hint="eastAsia" w:ascii="仿宋" w:hAnsi="仿宋" w:eastAsia="仿宋" w:cs="仿宋_GB2312"/>
          <w:sz w:val="24"/>
          <w:szCs w:val="24"/>
        </w:rPr>
        <w:t>年</w:t>
      </w:r>
    </w:p>
    <w:p>
      <w:pPr>
        <w:adjustRightInd w:val="0"/>
        <w:snapToGrid w:val="0"/>
        <w:spacing w:before="156" w:beforeLines="50" w:after="156" w:afterLines="50" w:line="360" w:lineRule="auto"/>
        <w:ind w:firstLine="472" w:firstLineChars="196"/>
        <w:rPr>
          <w:rFonts w:ascii="仿宋" w:hAnsi="仿宋" w:eastAsia="仿宋"/>
          <w:sz w:val="24"/>
          <w:szCs w:val="24"/>
        </w:rPr>
      </w:pPr>
      <w:r>
        <w:rPr>
          <w:rFonts w:hint="eastAsia" w:ascii="仿宋" w:hAnsi="仿宋" w:eastAsia="仿宋" w:cs="仿宋_GB2312"/>
          <w:b/>
          <w:bCs/>
          <w:sz w:val="24"/>
          <w:szCs w:val="24"/>
        </w:rPr>
        <w:t>拟支持项目数：</w:t>
      </w:r>
      <w:r>
        <w:rPr>
          <w:rFonts w:ascii="仿宋" w:hAnsi="仿宋" w:eastAsia="仿宋" w:cs="仿宋_GB2312"/>
          <w:sz w:val="24"/>
          <w:szCs w:val="24"/>
        </w:rPr>
        <w:t>1-2</w:t>
      </w:r>
      <w:r>
        <w:rPr>
          <w:rFonts w:hint="eastAsia" w:ascii="仿宋" w:hAnsi="仿宋" w:eastAsia="仿宋" w:cs="仿宋_GB2312"/>
          <w:sz w:val="24"/>
          <w:szCs w:val="24"/>
        </w:rPr>
        <w:t>项</w:t>
      </w:r>
    </w:p>
    <w:p>
      <w:pPr>
        <w:adjustRightInd w:val="0"/>
        <w:snapToGrid w:val="0"/>
        <w:spacing w:before="156" w:beforeLines="50" w:after="156" w:afterLines="50" w:line="360" w:lineRule="auto"/>
        <w:ind w:firstLine="472" w:firstLineChars="196"/>
        <w:rPr>
          <w:rFonts w:ascii="仿宋" w:hAnsi="仿宋" w:eastAsia="仿宋"/>
          <w:b/>
          <w:bCs/>
          <w:sz w:val="24"/>
          <w:szCs w:val="24"/>
        </w:rPr>
      </w:pPr>
      <w:r>
        <w:rPr>
          <w:rFonts w:hint="eastAsia" w:ascii="仿宋" w:hAnsi="仿宋" w:eastAsia="仿宋" w:cs="仿宋_GB2312"/>
          <w:b/>
          <w:bCs/>
          <w:sz w:val="24"/>
          <w:szCs w:val="24"/>
        </w:rPr>
        <w:t>有关说明：</w:t>
      </w:r>
      <w:r>
        <w:rPr>
          <w:rFonts w:hint="eastAsia" w:ascii="仿宋" w:hAnsi="仿宋" w:eastAsia="仿宋" w:cs="仿宋_GB2312"/>
          <w:sz w:val="24"/>
          <w:szCs w:val="24"/>
        </w:rPr>
        <w:t>牵头单位应具备相关基础和研究条件，要求产、学、研、医、检等优势单位联合申报。其他经费（包括地方财政经费、单位出资及社会渠道资金等）与中央财政经费比例不低于3</w:t>
      </w:r>
      <w:r>
        <w:rPr>
          <w:rFonts w:ascii="仿宋" w:hAnsi="仿宋" w:eastAsia="仿宋" w:cs="仿宋_GB2312"/>
          <w:sz w:val="24"/>
          <w:szCs w:val="24"/>
        </w:rPr>
        <w:t>:1</w:t>
      </w:r>
      <w:r>
        <w:rPr>
          <w:rFonts w:hint="eastAsia" w:ascii="仿宋" w:hAnsi="仿宋" w:eastAsia="仿宋" w:cs="仿宋_GB2312"/>
          <w:sz w:val="24"/>
          <w:szCs w:val="24"/>
        </w:rPr>
        <w:t>。</w:t>
      </w:r>
    </w:p>
    <w:p>
      <w:pPr>
        <w:adjustRightInd w:val="0"/>
        <w:snapToGrid w:val="0"/>
        <w:spacing w:before="156" w:beforeLines="50" w:after="156" w:afterLines="50" w:line="360" w:lineRule="auto"/>
        <w:rPr>
          <w:rFonts w:ascii="仿宋" w:hAnsi="仿宋" w:eastAsia="仿宋"/>
          <w:color w:val="auto"/>
          <w:kern w:val="0"/>
          <w:sz w:val="24"/>
          <w:szCs w:val="24"/>
        </w:rPr>
      </w:pPr>
    </w:p>
    <w:p>
      <w:pPr>
        <w:widowControl/>
        <w:adjustRightInd w:val="0"/>
        <w:snapToGrid w:val="0"/>
        <w:spacing w:after="0" w:line="360" w:lineRule="auto"/>
        <w:jc w:val="left"/>
        <w:rPr>
          <w:rFonts w:ascii="仿宋" w:hAnsi="仿宋" w:eastAsia="仿宋"/>
          <w:b/>
          <w:bCs/>
          <w:color w:val="auto"/>
          <w:kern w:val="44"/>
          <w:sz w:val="24"/>
          <w:szCs w:val="24"/>
        </w:rPr>
      </w:pPr>
      <w:r>
        <w:rPr>
          <w:rFonts w:ascii="仿宋" w:hAnsi="仿宋" w:eastAsia="仿宋"/>
          <w:sz w:val="24"/>
          <w:szCs w:val="24"/>
        </w:rPr>
        <w:br w:type="page"/>
      </w:r>
    </w:p>
    <w:p>
      <w:pPr>
        <w:pStyle w:val="2"/>
        <w:adjustRightInd w:val="0"/>
        <w:snapToGrid w:val="0"/>
        <w:spacing w:before="156" w:beforeLines="50" w:after="156" w:afterLines="50" w:line="360" w:lineRule="auto"/>
        <w:rPr>
          <w:rFonts w:ascii="仿宋" w:hAnsi="仿宋" w:eastAsia="仿宋"/>
          <w:sz w:val="24"/>
          <w:szCs w:val="24"/>
        </w:rPr>
      </w:pPr>
      <w:r>
        <w:rPr>
          <w:rFonts w:ascii="仿宋" w:hAnsi="仿宋" w:eastAsia="仿宋"/>
          <w:sz w:val="24"/>
          <w:szCs w:val="24"/>
        </w:rPr>
        <w:t>任务三：老年常见疾病防控和康复护理技术研究</w:t>
      </w:r>
    </w:p>
    <w:p>
      <w:pPr>
        <w:pStyle w:val="3"/>
        <w:adjustRightInd w:val="0"/>
        <w:snapToGrid w:val="0"/>
        <w:spacing w:before="156" w:beforeLines="50" w:after="156" w:afterLines="50" w:line="360" w:lineRule="auto"/>
        <w:rPr>
          <w:rFonts w:ascii="仿宋" w:hAnsi="仿宋" w:eastAsia="仿宋"/>
          <w:sz w:val="24"/>
          <w:szCs w:val="24"/>
        </w:rPr>
      </w:pPr>
      <w:r>
        <w:rPr>
          <w:rFonts w:ascii="仿宋" w:hAnsi="仿宋" w:eastAsia="仿宋"/>
          <w:sz w:val="24"/>
          <w:szCs w:val="24"/>
        </w:rPr>
        <w:t>3.1</w:t>
      </w:r>
      <w:r>
        <w:rPr>
          <w:rFonts w:hint="eastAsia" w:ascii="仿宋" w:hAnsi="仿宋" w:eastAsia="仿宋"/>
          <w:sz w:val="24"/>
          <w:szCs w:val="24"/>
        </w:rPr>
        <w:t>老年常见疾病防控技术研究</w:t>
      </w:r>
    </w:p>
    <w:p>
      <w:pPr>
        <w:pStyle w:val="4"/>
        <w:adjustRightInd w:val="0"/>
        <w:snapToGrid w:val="0"/>
        <w:spacing w:before="0" w:after="0" w:line="360" w:lineRule="auto"/>
        <w:rPr>
          <w:rFonts w:ascii="仿宋" w:hAnsi="仿宋" w:eastAsia="仿宋"/>
          <w:sz w:val="24"/>
          <w:szCs w:val="24"/>
        </w:rPr>
      </w:pPr>
      <w:r>
        <w:rPr>
          <w:rFonts w:ascii="仿宋" w:hAnsi="仿宋" w:eastAsia="仿宋"/>
          <w:sz w:val="24"/>
          <w:szCs w:val="24"/>
        </w:rPr>
        <w:t>3.1.</w:t>
      </w:r>
      <w:r>
        <w:rPr>
          <w:rFonts w:hint="eastAsia" w:ascii="仿宋" w:hAnsi="仿宋" w:eastAsia="仿宋"/>
          <w:sz w:val="24"/>
          <w:szCs w:val="24"/>
        </w:rPr>
        <w:t xml:space="preserve">1 </w:t>
      </w:r>
      <w:r>
        <w:rPr>
          <w:rFonts w:ascii="仿宋" w:hAnsi="仿宋" w:eastAsia="仿宋"/>
          <w:color w:val="auto"/>
          <w:sz w:val="24"/>
          <w:szCs w:val="24"/>
        </w:rPr>
        <w:t>老年围手术期管理的技术方案研究</w:t>
      </w:r>
    </w:p>
    <w:p>
      <w:pPr>
        <w:adjustRightInd w:val="0"/>
        <w:snapToGrid w:val="0"/>
        <w:spacing w:after="0" w:line="360" w:lineRule="auto"/>
        <w:ind w:firstLine="470" w:firstLineChars="200"/>
        <w:rPr>
          <w:rFonts w:ascii="仿宋" w:hAnsi="仿宋" w:eastAsia="仿宋"/>
          <w:bCs/>
          <w:color w:val="auto"/>
          <w:spacing w:val="-3"/>
          <w:sz w:val="24"/>
          <w:szCs w:val="24"/>
        </w:rPr>
      </w:pPr>
      <w:r>
        <w:rPr>
          <w:rFonts w:ascii="仿宋" w:hAnsi="仿宋" w:eastAsia="仿宋"/>
          <w:b/>
          <w:bCs/>
          <w:color w:val="auto"/>
          <w:spacing w:val="-3"/>
          <w:sz w:val="24"/>
          <w:szCs w:val="24"/>
        </w:rPr>
        <w:t>研究内容:</w:t>
      </w:r>
      <w:r>
        <w:rPr>
          <w:rFonts w:ascii="仿宋" w:hAnsi="仿宋" w:eastAsia="仿宋"/>
          <w:bCs/>
          <w:color w:val="auto"/>
          <w:spacing w:val="-3"/>
          <w:sz w:val="24"/>
          <w:szCs w:val="24"/>
        </w:rPr>
        <w:t>研究老年患者围手术期特殊危险事件的风险评估方法；研究老年患者围手术期特殊风险的防控技术措施；研究临床麻醉中特殊监测手段和干预技术对老年患者围术期转归和远期预后的影响；开展老年患者围手术期综合干预及应用效果评价研究；制定老年人围手术期麻醉管理的</w:t>
      </w:r>
      <w:r>
        <w:rPr>
          <w:rFonts w:ascii="仿宋" w:hAnsi="仿宋" w:eastAsia="仿宋"/>
          <w:color w:val="auto"/>
          <w:sz w:val="24"/>
          <w:szCs w:val="24"/>
        </w:rPr>
        <w:t>专家共识／指南</w:t>
      </w:r>
      <w:r>
        <w:rPr>
          <w:rFonts w:ascii="仿宋" w:hAnsi="仿宋" w:eastAsia="仿宋"/>
          <w:bCs/>
          <w:color w:val="auto"/>
          <w:spacing w:val="-3"/>
          <w:sz w:val="24"/>
          <w:szCs w:val="24"/>
        </w:rPr>
        <w:t>。</w:t>
      </w:r>
    </w:p>
    <w:p>
      <w:pPr>
        <w:adjustRightInd w:val="0"/>
        <w:snapToGrid w:val="0"/>
        <w:spacing w:after="0" w:line="360" w:lineRule="auto"/>
        <w:ind w:firstLine="470" w:firstLineChars="200"/>
        <w:rPr>
          <w:rFonts w:ascii="仿宋" w:hAnsi="仿宋" w:eastAsia="仿宋"/>
          <w:bCs/>
          <w:color w:val="auto"/>
          <w:sz w:val="24"/>
          <w:szCs w:val="24"/>
        </w:rPr>
      </w:pPr>
      <w:r>
        <w:rPr>
          <w:rFonts w:ascii="仿宋" w:hAnsi="仿宋" w:eastAsia="仿宋"/>
          <w:b/>
          <w:bCs/>
          <w:color w:val="auto"/>
          <w:spacing w:val="-3"/>
          <w:sz w:val="24"/>
          <w:szCs w:val="24"/>
        </w:rPr>
        <w:t>考核指标：</w:t>
      </w:r>
      <w:r>
        <w:rPr>
          <w:rFonts w:ascii="仿宋" w:hAnsi="仿宋" w:eastAsia="仿宋"/>
          <w:bCs/>
          <w:color w:val="auto"/>
          <w:sz w:val="24"/>
          <w:szCs w:val="24"/>
        </w:rPr>
        <w:t>产出不少于6项针对老年患者围术期特殊事件风险评估方法；组建不少于4个老年围术期特殊事件风险的综合干预技术体系；完成6个地区的综合干预及应用评价研究，示范地区围手术期特殊事件发生率降低20%；</w:t>
      </w:r>
      <w:r>
        <w:rPr>
          <w:rFonts w:hint="eastAsia" w:ascii="仿宋" w:hAnsi="仿宋" w:eastAsia="仿宋"/>
          <w:color w:val="auto"/>
          <w:sz w:val="24"/>
          <w:szCs w:val="24"/>
        </w:rPr>
        <w:t>制定</w:t>
      </w:r>
      <w:r>
        <w:rPr>
          <w:rFonts w:ascii="仿宋" w:hAnsi="仿宋" w:eastAsia="仿宋"/>
          <w:color w:val="auto"/>
          <w:sz w:val="24"/>
          <w:szCs w:val="24"/>
        </w:rPr>
        <w:t>老年人围手术期管理</w:t>
      </w:r>
      <w:r>
        <w:rPr>
          <w:rFonts w:hint="eastAsia" w:ascii="仿宋" w:hAnsi="仿宋" w:eastAsia="仿宋"/>
          <w:color w:val="auto"/>
          <w:sz w:val="24"/>
          <w:szCs w:val="24"/>
        </w:rPr>
        <w:t>指南</w:t>
      </w:r>
      <w:r>
        <w:rPr>
          <w:rFonts w:ascii="仿宋" w:hAnsi="仿宋" w:eastAsia="仿宋"/>
          <w:color w:val="auto"/>
          <w:sz w:val="24"/>
          <w:szCs w:val="24"/>
        </w:rPr>
        <w:t>。</w:t>
      </w:r>
    </w:p>
    <w:p>
      <w:pPr>
        <w:pStyle w:val="17"/>
        <w:snapToGrid w:val="0"/>
        <w:spacing w:line="360" w:lineRule="auto"/>
        <w:ind w:firstLine="472" w:firstLineChars="196"/>
        <w:jc w:val="both"/>
        <w:rPr>
          <w:rFonts w:ascii="仿宋" w:hAnsi="仿宋" w:eastAsia="仿宋"/>
          <w:color w:val="auto"/>
          <w:kern w:val="2"/>
        </w:rPr>
      </w:pPr>
      <w:r>
        <w:rPr>
          <w:rFonts w:ascii="仿宋" w:hAnsi="仿宋" w:eastAsia="仿宋"/>
          <w:b/>
          <w:color w:val="auto"/>
          <w:kern w:val="2"/>
        </w:rPr>
        <w:t>支持年限：</w:t>
      </w:r>
      <w:r>
        <w:rPr>
          <w:rFonts w:ascii="仿宋" w:hAnsi="仿宋" w:eastAsia="仿宋"/>
          <w:color w:val="auto"/>
          <w:kern w:val="2"/>
        </w:rPr>
        <w:t>201</w:t>
      </w:r>
      <w:r>
        <w:rPr>
          <w:rFonts w:hint="eastAsia" w:ascii="仿宋" w:hAnsi="仿宋" w:eastAsia="仿宋"/>
          <w:color w:val="auto"/>
          <w:kern w:val="2"/>
        </w:rPr>
        <w:t>8</w:t>
      </w:r>
      <w:r>
        <w:rPr>
          <w:rFonts w:ascii="仿宋" w:hAnsi="仿宋" w:eastAsia="仿宋"/>
          <w:color w:val="auto"/>
          <w:kern w:val="2"/>
        </w:rPr>
        <w:t>-2022年。</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360" w:lineRule="auto"/>
        <w:ind w:firstLine="482" w:firstLineChars="200"/>
        <w:jc w:val="left"/>
        <w:rPr>
          <w:rFonts w:ascii="仿宋" w:hAnsi="仿宋" w:eastAsia="仿宋"/>
          <w:b/>
          <w:color w:val="auto"/>
          <w:sz w:val="24"/>
          <w:szCs w:val="24"/>
        </w:rPr>
      </w:pPr>
      <w:r>
        <w:rPr>
          <w:rFonts w:ascii="仿宋" w:hAnsi="仿宋" w:eastAsia="仿宋"/>
          <w:b/>
          <w:color w:val="auto"/>
          <w:sz w:val="24"/>
          <w:szCs w:val="24"/>
        </w:rPr>
        <w:t>拟支持项目数：</w:t>
      </w:r>
      <w:r>
        <w:rPr>
          <w:rFonts w:ascii="仿宋" w:hAnsi="仿宋" w:eastAsia="仿宋"/>
          <w:color w:val="auto"/>
          <w:sz w:val="24"/>
          <w:szCs w:val="24"/>
        </w:rPr>
        <w:t>1-2项。</w:t>
      </w:r>
    </w:p>
    <w:p>
      <w:pPr>
        <w:adjustRightInd w:val="0"/>
        <w:snapToGrid w:val="0"/>
        <w:spacing w:before="156" w:beforeLines="50" w:after="156" w:afterLines="50" w:line="360" w:lineRule="auto"/>
        <w:ind w:firstLine="472" w:firstLineChars="196"/>
        <w:rPr>
          <w:rFonts w:ascii="仿宋" w:hAnsi="仿宋" w:eastAsia="仿宋"/>
          <w:color w:val="auto"/>
          <w:sz w:val="24"/>
          <w:szCs w:val="24"/>
        </w:rPr>
      </w:pPr>
      <w:r>
        <w:rPr>
          <w:rFonts w:ascii="仿宋" w:hAnsi="仿宋" w:eastAsia="仿宋"/>
          <w:b/>
          <w:bCs/>
          <w:color w:val="auto"/>
          <w:kern w:val="0"/>
          <w:sz w:val="24"/>
          <w:szCs w:val="24"/>
        </w:rPr>
        <w:t>有关说明：</w:t>
      </w:r>
      <w:r>
        <w:rPr>
          <w:rFonts w:hint="eastAsia" w:ascii="仿宋" w:hAnsi="仿宋" w:eastAsia="仿宋"/>
          <w:bCs/>
          <w:color w:val="auto"/>
          <w:kern w:val="0"/>
          <w:sz w:val="24"/>
          <w:szCs w:val="24"/>
        </w:rPr>
        <w:t>由建有国家临床医学研究中心的医疗机构牵头申报。</w:t>
      </w:r>
      <w:r>
        <w:rPr>
          <w:rFonts w:hint="eastAsia" w:ascii="仿宋" w:hAnsi="仿宋" w:eastAsia="仿宋" w:cs="仿宋_GB2312"/>
          <w:sz w:val="24"/>
          <w:szCs w:val="24"/>
        </w:rPr>
        <w:t>其他经费（包括地方财政经费、单位出资及社会渠道资金等）与中央财政经费比例不低于</w:t>
      </w:r>
      <w:r>
        <w:rPr>
          <w:rFonts w:ascii="仿宋" w:hAnsi="仿宋" w:eastAsia="仿宋" w:cs="仿宋_GB2312"/>
          <w:sz w:val="24"/>
          <w:szCs w:val="24"/>
        </w:rPr>
        <w:t>1:1</w:t>
      </w:r>
      <w:r>
        <w:rPr>
          <w:rFonts w:hint="eastAsia" w:ascii="仿宋" w:hAnsi="仿宋" w:eastAsia="仿宋" w:cs="仿宋_GB2312"/>
          <w:sz w:val="24"/>
          <w:szCs w:val="24"/>
        </w:rPr>
        <w:t>。</w:t>
      </w:r>
    </w:p>
    <w:p>
      <w:pPr>
        <w:adjustRightInd w:val="0"/>
        <w:snapToGrid w:val="0"/>
        <w:spacing w:before="156" w:beforeLines="50" w:after="156" w:afterLines="50" w:line="360" w:lineRule="auto"/>
        <w:ind w:firstLine="470" w:firstLineChars="196"/>
        <w:rPr>
          <w:rFonts w:ascii="仿宋" w:hAnsi="仿宋" w:eastAsia="仿宋"/>
          <w:sz w:val="24"/>
          <w:szCs w:val="24"/>
        </w:rPr>
      </w:pPr>
    </w:p>
    <w:p>
      <w:pPr>
        <w:pStyle w:val="4"/>
        <w:adjustRightInd w:val="0"/>
        <w:snapToGrid w:val="0"/>
        <w:spacing w:before="156" w:beforeLines="50" w:after="156" w:afterLines="50" w:line="360" w:lineRule="auto"/>
        <w:rPr>
          <w:rFonts w:ascii="仿宋" w:hAnsi="仿宋" w:eastAsia="仿宋"/>
          <w:sz w:val="24"/>
          <w:szCs w:val="24"/>
        </w:rPr>
      </w:pPr>
      <w:r>
        <w:rPr>
          <w:rFonts w:ascii="仿宋" w:hAnsi="仿宋" w:eastAsia="仿宋"/>
          <w:sz w:val="24"/>
          <w:szCs w:val="24"/>
        </w:rPr>
        <w:t>3.1.</w:t>
      </w:r>
      <w:r>
        <w:rPr>
          <w:rFonts w:hint="eastAsia" w:ascii="仿宋" w:hAnsi="仿宋" w:eastAsia="仿宋"/>
          <w:sz w:val="24"/>
          <w:szCs w:val="24"/>
        </w:rPr>
        <w:t xml:space="preserve">2 </w:t>
      </w:r>
      <w:r>
        <w:rPr>
          <w:rFonts w:ascii="仿宋" w:hAnsi="仿宋" w:eastAsia="仿宋"/>
          <w:color w:val="auto"/>
          <w:sz w:val="24"/>
          <w:szCs w:val="24"/>
        </w:rPr>
        <w:t>老年衰弱状态的干预措施研究</w:t>
      </w:r>
    </w:p>
    <w:p>
      <w:pPr>
        <w:adjustRightInd w:val="0"/>
        <w:snapToGrid w:val="0"/>
        <w:spacing w:before="156" w:beforeLines="50" w:after="156" w:afterLines="50" w:line="360" w:lineRule="auto"/>
        <w:ind w:firstLine="482" w:firstLineChars="200"/>
        <w:rPr>
          <w:rFonts w:ascii="仿宋" w:hAnsi="仿宋" w:eastAsia="仿宋"/>
          <w:color w:val="auto"/>
          <w:sz w:val="24"/>
          <w:szCs w:val="24"/>
        </w:rPr>
      </w:pPr>
      <w:r>
        <w:rPr>
          <w:rFonts w:ascii="仿宋" w:hAnsi="仿宋" w:eastAsia="仿宋"/>
          <w:b/>
          <w:color w:val="auto"/>
          <w:sz w:val="24"/>
          <w:szCs w:val="24"/>
        </w:rPr>
        <w:t>研究内容:</w:t>
      </w:r>
      <w:r>
        <w:rPr>
          <w:rFonts w:ascii="仿宋" w:hAnsi="仿宋" w:eastAsia="仿宋"/>
          <w:color w:val="auto"/>
          <w:sz w:val="24"/>
          <w:szCs w:val="24"/>
        </w:rPr>
        <w:t>分析老年人衰弱发生发展的相关危险因素，研发老年衰弱状态的预测与早期诊断模型；建立对老年衰弱进行预防、评估、干预和综合管理的模式；开发适合于老年衰弱的综合干预技术措施，完成老年衰弱干预措施的效果评价</w:t>
      </w:r>
      <w:r>
        <w:rPr>
          <w:rFonts w:hint="eastAsia" w:ascii="仿宋" w:hAnsi="仿宋" w:eastAsia="仿宋"/>
          <w:color w:val="auto"/>
          <w:sz w:val="24"/>
          <w:szCs w:val="24"/>
        </w:rPr>
        <w:t>；</w:t>
      </w:r>
      <w:r>
        <w:rPr>
          <w:rFonts w:ascii="仿宋" w:hAnsi="仿宋" w:eastAsia="仿宋"/>
          <w:color w:val="auto"/>
          <w:sz w:val="24"/>
          <w:szCs w:val="24"/>
        </w:rPr>
        <w:t>制定我国老年衰弱防控共识或指南。</w:t>
      </w:r>
    </w:p>
    <w:p>
      <w:pPr>
        <w:adjustRightInd w:val="0"/>
        <w:snapToGrid w:val="0"/>
        <w:spacing w:before="156" w:beforeLines="50" w:after="156" w:afterLines="50" w:line="360" w:lineRule="auto"/>
        <w:ind w:firstLine="482" w:firstLineChars="200"/>
        <w:rPr>
          <w:rFonts w:ascii="仿宋" w:hAnsi="仿宋" w:eastAsia="仿宋"/>
          <w:color w:val="auto"/>
          <w:sz w:val="24"/>
          <w:szCs w:val="24"/>
        </w:rPr>
      </w:pPr>
      <w:r>
        <w:rPr>
          <w:rFonts w:ascii="仿宋" w:hAnsi="仿宋" w:eastAsia="仿宋"/>
          <w:b/>
          <w:color w:val="auto"/>
          <w:sz w:val="24"/>
          <w:szCs w:val="24"/>
        </w:rPr>
        <w:t>考核指标：</w:t>
      </w:r>
      <w:r>
        <w:rPr>
          <w:rFonts w:ascii="仿宋" w:hAnsi="仿宋" w:eastAsia="仿宋"/>
          <w:color w:val="auto"/>
          <w:sz w:val="24"/>
          <w:szCs w:val="24"/>
        </w:rPr>
        <w:t>建立适用于中国城乡老年人群的衰弱评估量表；建立老年人衰弱的预测与早期诊断模型；开发老年人衰弱的早期诊断技术方法和诊断标准；建立不少于2个适合不同情况衰弱老人的综合干预技术，完成干预效果评价；</w:t>
      </w:r>
      <w:r>
        <w:rPr>
          <w:rFonts w:hint="eastAsia" w:ascii="仿宋" w:hAnsi="仿宋" w:eastAsia="仿宋"/>
          <w:color w:val="auto"/>
          <w:sz w:val="24"/>
          <w:szCs w:val="24"/>
        </w:rPr>
        <w:t>制定</w:t>
      </w:r>
      <w:r>
        <w:rPr>
          <w:rFonts w:ascii="仿宋" w:hAnsi="仿宋" w:eastAsia="仿宋"/>
          <w:color w:val="auto"/>
          <w:sz w:val="24"/>
          <w:szCs w:val="24"/>
        </w:rPr>
        <w:t>我国老年衰弱防控共识或指南。</w:t>
      </w:r>
    </w:p>
    <w:p>
      <w:pPr>
        <w:pStyle w:val="17"/>
        <w:snapToGrid w:val="0"/>
        <w:spacing w:before="156" w:beforeLines="50" w:after="156" w:afterLines="50" w:line="360" w:lineRule="auto"/>
        <w:ind w:firstLine="472" w:firstLineChars="196"/>
        <w:jc w:val="both"/>
        <w:rPr>
          <w:rFonts w:ascii="仿宋" w:hAnsi="仿宋" w:eastAsia="仿宋"/>
          <w:color w:val="auto"/>
          <w:kern w:val="2"/>
        </w:rPr>
      </w:pPr>
      <w:r>
        <w:rPr>
          <w:rFonts w:ascii="仿宋" w:hAnsi="仿宋" w:eastAsia="仿宋"/>
          <w:b/>
          <w:color w:val="auto"/>
          <w:kern w:val="2"/>
        </w:rPr>
        <w:t>支持年限：</w:t>
      </w:r>
      <w:r>
        <w:rPr>
          <w:rFonts w:ascii="仿宋" w:hAnsi="仿宋" w:eastAsia="仿宋"/>
          <w:color w:val="auto"/>
          <w:kern w:val="2"/>
        </w:rPr>
        <w:t>2018-2022年。</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156" w:beforeLines="50" w:after="156" w:afterLines="50" w:line="360" w:lineRule="auto"/>
        <w:ind w:firstLine="482" w:firstLineChars="200"/>
        <w:jc w:val="left"/>
        <w:rPr>
          <w:rFonts w:ascii="仿宋" w:hAnsi="仿宋" w:eastAsia="仿宋"/>
          <w:b/>
          <w:color w:val="auto"/>
          <w:sz w:val="24"/>
          <w:szCs w:val="24"/>
        </w:rPr>
      </w:pPr>
      <w:r>
        <w:rPr>
          <w:rFonts w:ascii="仿宋" w:hAnsi="仿宋" w:eastAsia="仿宋"/>
          <w:b/>
          <w:color w:val="auto"/>
          <w:sz w:val="24"/>
          <w:szCs w:val="24"/>
        </w:rPr>
        <w:t>拟支持项目数：</w:t>
      </w:r>
      <w:r>
        <w:rPr>
          <w:rFonts w:ascii="仿宋" w:hAnsi="仿宋" w:eastAsia="仿宋"/>
          <w:color w:val="auto"/>
          <w:sz w:val="24"/>
          <w:szCs w:val="24"/>
        </w:rPr>
        <w:t>1-2项。</w:t>
      </w:r>
    </w:p>
    <w:p>
      <w:pPr>
        <w:adjustRightInd w:val="0"/>
        <w:snapToGrid w:val="0"/>
        <w:spacing w:before="156" w:beforeLines="50" w:after="156" w:afterLines="50" w:line="360" w:lineRule="auto"/>
        <w:ind w:firstLine="472" w:firstLineChars="196"/>
        <w:rPr>
          <w:rFonts w:ascii="仿宋" w:hAnsi="仿宋" w:eastAsia="仿宋"/>
          <w:sz w:val="24"/>
          <w:szCs w:val="24"/>
        </w:rPr>
      </w:pPr>
      <w:r>
        <w:rPr>
          <w:rFonts w:ascii="仿宋" w:hAnsi="仿宋" w:eastAsia="仿宋"/>
          <w:b/>
          <w:bCs/>
          <w:color w:val="auto"/>
          <w:kern w:val="0"/>
          <w:sz w:val="24"/>
          <w:szCs w:val="24"/>
        </w:rPr>
        <w:t>有关说明：</w:t>
      </w:r>
      <w:r>
        <w:rPr>
          <w:rFonts w:hint="eastAsia" w:ascii="仿宋" w:hAnsi="仿宋" w:eastAsia="仿宋"/>
          <w:bCs/>
          <w:color w:val="auto"/>
          <w:kern w:val="0"/>
          <w:sz w:val="24"/>
          <w:szCs w:val="24"/>
        </w:rPr>
        <w:t>由建有国家临床医学研究中心的医疗机构牵头申报</w:t>
      </w:r>
      <w:r>
        <w:rPr>
          <w:rFonts w:ascii="仿宋" w:hAnsi="仿宋" w:eastAsia="仿宋"/>
          <w:color w:val="auto"/>
          <w:sz w:val="24"/>
          <w:szCs w:val="24"/>
        </w:rPr>
        <w:t>。</w:t>
      </w:r>
      <w:r>
        <w:rPr>
          <w:rFonts w:hint="eastAsia" w:ascii="仿宋" w:hAnsi="仿宋" w:eastAsia="仿宋" w:cs="仿宋_GB2312"/>
          <w:sz w:val="24"/>
          <w:szCs w:val="24"/>
        </w:rPr>
        <w:t>其他经费（包括地方财政经费、单位出资及社会渠道资金等）与中央财政经费比例不低于</w:t>
      </w:r>
      <w:r>
        <w:rPr>
          <w:rFonts w:ascii="仿宋" w:hAnsi="仿宋" w:eastAsia="仿宋" w:cs="仿宋_GB2312"/>
          <w:sz w:val="24"/>
          <w:szCs w:val="24"/>
        </w:rPr>
        <w:t>1:1</w:t>
      </w:r>
      <w:r>
        <w:rPr>
          <w:rFonts w:hint="eastAsia" w:ascii="仿宋" w:hAnsi="仿宋" w:eastAsia="仿宋" w:cs="仿宋_GB2312"/>
          <w:sz w:val="24"/>
          <w:szCs w:val="24"/>
        </w:rPr>
        <w:t>。</w:t>
      </w:r>
    </w:p>
    <w:p>
      <w:pPr>
        <w:adjustRightInd w:val="0"/>
        <w:snapToGrid w:val="0"/>
        <w:spacing w:before="156" w:beforeLines="50" w:after="156" w:afterLines="50" w:line="360" w:lineRule="auto"/>
        <w:rPr>
          <w:rFonts w:ascii="仿宋" w:hAnsi="仿宋" w:eastAsia="仿宋"/>
          <w:sz w:val="24"/>
          <w:szCs w:val="24"/>
        </w:rPr>
      </w:pPr>
    </w:p>
    <w:p>
      <w:pPr>
        <w:pStyle w:val="3"/>
        <w:adjustRightInd w:val="0"/>
        <w:snapToGrid w:val="0"/>
        <w:spacing w:before="156" w:beforeLines="50" w:after="156" w:afterLines="50" w:line="360" w:lineRule="auto"/>
        <w:rPr>
          <w:rFonts w:ascii="仿宋" w:hAnsi="仿宋" w:eastAsia="仿宋"/>
          <w:sz w:val="24"/>
          <w:szCs w:val="24"/>
        </w:rPr>
      </w:pPr>
      <w:r>
        <w:rPr>
          <w:rFonts w:hint="eastAsia" w:ascii="仿宋" w:hAnsi="仿宋" w:eastAsia="仿宋"/>
          <w:sz w:val="24"/>
          <w:szCs w:val="24"/>
        </w:rPr>
        <w:t>3.2 老年功能维持和康复护理技术研究</w:t>
      </w:r>
    </w:p>
    <w:p>
      <w:pPr>
        <w:pStyle w:val="4"/>
        <w:adjustRightInd w:val="0"/>
        <w:snapToGrid w:val="0"/>
        <w:spacing w:before="156" w:beforeLines="50" w:after="156" w:afterLines="50" w:line="360" w:lineRule="auto"/>
        <w:rPr>
          <w:rFonts w:ascii="仿宋" w:hAnsi="仿宋" w:eastAsia="仿宋"/>
          <w:color w:val="auto"/>
          <w:sz w:val="24"/>
          <w:szCs w:val="24"/>
        </w:rPr>
      </w:pPr>
      <w:r>
        <w:rPr>
          <w:rFonts w:ascii="仿宋" w:hAnsi="仿宋" w:eastAsia="仿宋"/>
          <w:sz w:val="24"/>
          <w:szCs w:val="24"/>
        </w:rPr>
        <w:t>3.2.1</w:t>
      </w:r>
      <w:r>
        <w:rPr>
          <w:rFonts w:ascii="仿宋" w:hAnsi="仿宋" w:eastAsia="仿宋"/>
          <w:color w:val="auto"/>
          <w:sz w:val="24"/>
          <w:szCs w:val="24"/>
        </w:rPr>
        <w:t>老年综合</w:t>
      </w:r>
      <w:r>
        <w:rPr>
          <w:rFonts w:hint="eastAsia" w:ascii="仿宋" w:hAnsi="仿宋" w:eastAsia="仿宋"/>
          <w:color w:val="auto"/>
          <w:sz w:val="24"/>
          <w:szCs w:val="24"/>
        </w:rPr>
        <w:t>征的</w:t>
      </w:r>
      <w:r>
        <w:rPr>
          <w:rFonts w:ascii="仿宋" w:hAnsi="仿宋" w:eastAsia="仿宋"/>
          <w:color w:val="auto"/>
          <w:sz w:val="24"/>
          <w:szCs w:val="24"/>
        </w:rPr>
        <w:t>评估技术研究</w:t>
      </w:r>
    </w:p>
    <w:p>
      <w:pPr>
        <w:adjustRightInd w:val="0"/>
        <w:snapToGrid w:val="0"/>
        <w:spacing w:before="156" w:beforeLines="50" w:after="156" w:afterLines="50" w:line="360" w:lineRule="auto"/>
        <w:ind w:firstLine="482" w:firstLineChars="200"/>
        <w:rPr>
          <w:rFonts w:ascii="仿宋" w:hAnsi="仿宋" w:eastAsia="仿宋"/>
          <w:color w:val="auto"/>
          <w:sz w:val="24"/>
          <w:szCs w:val="24"/>
        </w:rPr>
      </w:pPr>
      <w:r>
        <w:rPr>
          <w:rFonts w:ascii="仿宋" w:hAnsi="仿宋" w:eastAsia="仿宋"/>
          <w:b/>
          <w:color w:val="auto"/>
          <w:sz w:val="24"/>
          <w:szCs w:val="24"/>
        </w:rPr>
        <w:t>研究内容：</w:t>
      </w:r>
      <w:r>
        <w:rPr>
          <w:rFonts w:ascii="仿宋" w:hAnsi="仿宋" w:eastAsia="仿宋"/>
          <w:color w:val="auto"/>
          <w:sz w:val="24"/>
          <w:szCs w:val="24"/>
        </w:rPr>
        <w:t>分析研究以跌倒、营养不良为代表的老年综合征的发生特点及影响因素，建立风险预测模型；研究预防与延缓各类型老年综合征的技术措施，提出干预并改善老年人器官功能的具体方法及生活行为干预模式，建立以老年器官功能维护和保障老年人生活自理能力与生活质量的指标的疗效评价方法和标准。</w:t>
      </w:r>
    </w:p>
    <w:p>
      <w:pPr>
        <w:adjustRightInd w:val="0"/>
        <w:snapToGrid w:val="0"/>
        <w:spacing w:before="156" w:beforeLines="50" w:after="156" w:afterLines="50" w:line="360" w:lineRule="auto"/>
        <w:ind w:firstLine="482" w:firstLineChars="200"/>
        <w:rPr>
          <w:rFonts w:ascii="仿宋" w:hAnsi="仿宋" w:eastAsia="仿宋"/>
          <w:color w:val="auto"/>
          <w:sz w:val="24"/>
          <w:szCs w:val="24"/>
        </w:rPr>
      </w:pPr>
      <w:r>
        <w:rPr>
          <w:rFonts w:ascii="仿宋" w:hAnsi="仿宋" w:eastAsia="仿宋"/>
          <w:b/>
          <w:color w:val="auto"/>
          <w:sz w:val="24"/>
          <w:szCs w:val="24"/>
        </w:rPr>
        <w:t>考核指标：</w:t>
      </w:r>
      <w:r>
        <w:rPr>
          <w:rFonts w:ascii="仿宋" w:hAnsi="仿宋" w:eastAsia="仿宋"/>
          <w:color w:val="auto"/>
          <w:sz w:val="24"/>
          <w:szCs w:val="24"/>
        </w:rPr>
        <w:t>建立不少于5个量化的老年综合征预警及评估量表，完成并提交在我国六个地域</w:t>
      </w:r>
      <w:r>
        <w:rPr>
          <w:rFonts w:hint="eastAsia" w:ascii="仿宋" w:hAnsi="仿宋" w:eastAsia="仿宋"/>
          <w:color w:val="auto"/>
          <w:sz w:val="24"/>
          <w:szCs w:val="24"/>
        </w:rPr>
        <w:t>中</w:t>
      </w:r>
      <w:r>
        <w:rPr>
          <w:rFonts w:ascii="仿宋" w:hAnsi="仿宋" w:eastAsia="仿宋"/>
          <w:color w:val="auto"/>
          <w:sz w:val="24"/>
          <w:szCs w:val="24"/>
        </w:rPr>
        <w:t>的至少三</w:t>
      </w:r>
      <w:r>
        <w:rPr>
          <w:rFonts w:hint="eastAsia" w:ascii="仿宋" w:hAnsi="仿宋" w:eastAsia="仿宋"/>
          <w:color w:val="auto"/>
          <w:sz w:val="24"/>
          <w:szCs w:val="24"/>
        </w:rPr>
        <w:t>个</w:t>
      </w:r>
      <w:r>
        <w:rPr>
          <w:rFonts w:ascii="仿宋" w:hAnsi="仿宋" w:eastAsia="仿宋"/>
          <w:color w:val="auto"/>
          <w:sz w:val="24"/>
          <w:szCs w:val="24"/>
        </w:rPr>
        <w:t>地区</w:t>
      </w:r>
      <w:r>
        <w:rPr>
          <w:rFonts w:hint="eastAsia" w:ascii="仿宋" w:hAnsi="仿宋" w:eastAsia="仿宋"/>
          <w:color w:val="auto"/>
          <w:sz w:val="24"/>
          <w:szCs w:val="24"/>
        </w:rPr>
        <w:t>且</w:t>
      </w:r>
      <w:r>
        <w:rPr>
          <w:rFonts w:ascii="仿宋" w:hAnsi="仿宋" w:eastAsia="仿宋"/>
          <w:color w:val="auto"/>
          <w:sz w:val="24"/>
          <w:szCs w:val="24"/>
        </w:rPr>
        <w:t>不少于2万老年人群的验证结果；建立老年综合征预警体系，制定不少于3项防控干预模式并评价干预效果；建立老年人生活自理能力与生活质量维护的指标的疗效评价方法；制定不少于3项老年综合征防控干预指南。</w:t>
      </w:r>
    </w:p>
    <w:p>
      <w:pPr>
        <w:pStyle w:val="17"/>
        <w:snapToGrid w:val="0"/>
        <w:spacing w:before="156" w:beforeLines="50" w:after="156" w:afterLines="50" w:line="360" w:lineRule="auto"/>
        <w:ind w:firstLine="472" w:firstLineChars="196"/>
        <w:jc w:val="both"/>
        <w:rPr>
          <w:rFonts w:ascii="仿宋" w:hAnsi="仿宋" w:eastAsia="仿宋"/>
          <w:color w:val="auto"/>
          <w:kern w:val="2"/>
        </w:rPr>
      </w:pPr>
      <w:r>
        <w:rPr>
          <w:rFonts w:ascii="仿宋" w:hAnsi="仿宋" w:eastAsia="仿宋"/>
          <w:b/>
          <w:color w:val="auto"/>
          <w:kern w:val="2"/>
        </w:rPr>
        <w:t>支持年限：</w:t>
      </w:r>
      <w:r>
        <w:rPr>
          <w:rFonts w:ascii="仿宋" w:hAnsi="仿宋" w:eastAsia="仿宋"/>
          <w:color w:val="auto"/>
          <w:kern w:val="2"/>
        </w:rPr>
        <w:t>2018-2022年。</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156" w:beforeLines="50" w:after="156" w:afterLines="50" w:line="360" w:lineRule="auto"/>
        <w:ind w:firstLine="482" w:firstLineChars="200"/>
        <w:jc w:val="left"/>
        <w:rPr>
          <w:rFonts w:ascii="仿宋" w:hAnsi="仿宋" w:eastAsia="仿宋"/>
          <w:b/>
          <w:color w:val="auto"/>
          <w:sz w:val="24"/>
          <w:szCs w:val="24"/>
        </w:rPr>
      </w:pPr>
      <w:r>
        <w:rPr>
          <w:rFonts w:ascii="仿宋" w:hAnsi="仿宋" w:eastAsia="仿宋"/>
          <w:b/>
          <w:color w:val="auto"/>
          <w:sz w:val="24"/>
          <w:szCs w:val="24"/>
        </w:rPr>
        <w:t>拟支持项目数：</w:t>
      </w:r>
      <w:r>
        <w:rPr>
          <w:rFonts w:ascii="仿宋" w:hAnsi="仿宋" w:eastAsia="仿宋"/>
          <w:color w:val="auto"/>
          <w:sz w:val="24"/>
          <w:szCs w:val="24"/>
        </w:rPr>
        <w:t>1-2项。</w:t>
      </w:r>
    </w:p>
    <w:p>
      <w:pPr>
        <w:adjustRightInd w:val="0"/>
        <w:snapToGrid w:val="0"/>
        <w:spacing w:before="156" w:beforeLines="50" w:after="156" w:afterLines="50" w:line="360" w:lineRule="auto"/>
        <w:ind w:firstLine="472" w:firstLineChars="196"/>
        <w:rPr>
          <w:rFonts w:ascii="仿宋" w:hAnsi="仿宋" w:eastAsia="仿宋"/>
          <w:sz w:val="24"/>
          <w:szCs w:val="24"/>
        </w:rPr>
      </w:pPr>
      <w:r>
        <w:rPr>
          <w:rFonts w:ascii="仿宋" w:hAnsi="仿宋" w:eastAsia="仿宋"/>
          <w:b/>
          <w:bCs/>
          <w:color w:val="auto"/>
          <w:kern w:val="0"/>
          <w:sz w:val="24"/>
          <w:szCs w:val="24"/>
        </w:rPr>
        <w:t>有关说明：</w:t>
      </w:r>
      <w:r>
        <w:rPr>
          <w:rFonts w:hint="eastAsia" w:ascii="仿宋" w:hAnsi="仿宋" w:eastAsia="仿宋"/>
          <w:bCs/>
          <w:color w:val="auto"/>
          <w:kern w:val="0"/>
          <w:sz w:val="24"/>
          <w:szCs w:val="24"/>
        </w:rPr>
        <w:t>由建有国家临床医学研究中心的医疗机构牵头申报</w:t>
      </w:r>
      <w:r>
        <w:rPr>
          <w:rFonts w:ascii="仿宋" w:hAnsi="仿宋" w:eastAsia="仿宋"/>
          <w:color w:val="auto"/>
          <w:sz w:val="24"/>
          <w:szCs w:val="24"/>
        </w:rPr>
        <w:t>。</w:t>
      </w:r>
      <w:r>
        <w:rPr>
          <w:rFonts w:hint="eastAsia" w:ascii="仿宋" w:hAnsi="仿宋" w:eastAsia="仿宋" w:cs="仿宋_GB2312"/>
          <w:sz w:val="24"/>
          <w:szCs w:val="24"/>
        </w:rPr>
        <w:t>其他经费（包括地方财政经费、单位出资及社会渠道资金等）与中央财政经费比例不低于</w:t>
      </w:r>
      <w:r>
        <w:rPr>
          <w:rFonts w:ascii="仿宋" w:hAnsi="仿宋" w:eastAsia="仿宋" w:cs="仿宋_GB2312"/>
          <w:sz w:val="24"/>
          <w:szCs w:val="24"/>
        </w:rPr>
        <w:t>1:1</w:t>
      </w:r>
      <w:r>
        <w:rPr>
          <w:rFonts w:hint="eastAsia" w:ascii="仿宋" w:hAnsi="仿宋" w:eastAsia="仿宋" w:cs="仿宋_GB2312"/>
          <w:sz w:val="24"/>
          <w:szCs w:val="24"/>
        </w:rPr>
        <w:t>。</w:t>
      </w:r>
    </w:p>
    <w:p>
      <w:pPr>
        <w:adjustRightInd w:val="0"/>
        <w:snapToGrid w:val="0"/>
        <w:spacing w:before="156" w:beforeLines="50" w:after="156" w:afterLines="50" w:line="360" w:lineRule="auto"/>
        <w:rPr>
          <w:rFonts w:ascii="仿宋" w:hAnsi="仿宋" w:eastAsia="仿宋"/>
          <w:sz w:val="24"/>
          <w:szCs w:val="24"/>
        </w:rPr>
      </w:pPr>
    </w:p>
    <w:p>
      <w:pPr>
        <w:pStyle w:val="4"/>
        <w:adjustRightInd w:val="0"/>
        <w:snapToGrid w:val="0"/>
        <w:spacing w:before="156" w:beforeLines="50" w:after="156" w:afterLines="50" w:line="360" w:lineRule="auto"/>
        <w:rPr>
          <w:rFonts w:ascii="仿宋" w:hAnsi="仿宋" w:eastAsia="仿宋"/>
          <w:sz w:val="24"/>
          <w:szCs w:val="24"/>
        </w:rPr>
      </w:pPr>
      <w:r>
        <w:rPr>
          <w:rFonts w:ascii="仿宋" w:hAnsi="仿宋" w:eastAsia="仿宋"/>
          <w:sz w:val="24"/>
          <w:szCs w:val="24"/>
        </w:rPr>
        <w:t>3.2.</w:t>
      </w:r>
      <w:r>
        <w:rPr>
          <w:rFonts w:hint="eastAsia" w:ascii="仿宋" w:hAnsi="仿宋" w:eastAsia="仿宋"/>
          <w:sz w:val="24"/>
          <w:szCs w:val="24"/>
        </w:rPr>
        <w:t>2</w:t>
      </w:r>
      <w:r>
        <w:rPr>
          <w:rFonts w:ascii="仿宋" w:hAnsi="仿宋" w:eastAsia="仿宋"/>
          <w:color w:val="auto"/>
          <w:sz w:val="24"/>
          <w:szCs w:val="24"/>
        </w:rPr>
        <w:t>老年尿失禁的干预措施研究</w:t>
      </w:r>
    </w:p>
    <w:p>
      <w:pPr>
        <w:adjustRightInd w:val="0"/>
        <w:snapToGrid w:val="0"/>
        <w:spacing w:before="156" w:beforeLines="50" w:after="156" w:afterLines="50" w:line="360" w:lineRule="auto"/>
        <w:ind w:firstLine="482" w:firstLineChars="200"/>
        <w:rPr>
          <w:rFonts w:ascii="仿宋" w:hAnsi="仿宋" w:eastAsia="仿宋"/>
          <w:color w:val="auto"/>
          <w:sz w:val="24"/>
          <w:szCs w:val="24"/>
        </w:rPr>
      </w:pPr>
      <w:r>
        <w:rPr>
          <w:rFonts w:ascii="仿宋" w:hAnsi="仿宋" w:eastAsia="仿宋"/>
          <w:b/>
          <w:color w:val="auto"/>
          <w:sz w:val="24"/>
          <w:szCs w:val="24"/>
        </w:rPr>
        <w:t xml:space="preserve">研究内容: </w:t>
      </w:r>
      <w:r>
        <w:rPr>
          <w:rFonts w:ascii="仿宋" w:hAnsi="仿宋" w:eastAsia="仿宋"/>
          <w:color w:val="auto"/>
          <w:sz w:val="24"/>
          <w:szCs w:val="24"/>
        </w:rPr>
        <w:t>研究不同类型老年尿失禁的患病率和发病特点，建立适宜我国老年尿失禁人群的诊断标准与评估技术体系；针对尿失禁的遗传、行为危险因素，研究老年尿失禁预警体系，研究预防与延缓尿失禁的技术措施</w:t>
      </w:r>
      <w:r>
        <w:rPr>
          <w:rFonts w:hint="eastAsia" w:ascii="仿宋" w:hAnsi="仿宋" w:eastAsia="仿宋"/>
          <w:color w:val="auto"/>
          <w:sz w:val="24"/>
          <w:szCs w:val="24"/>
        </w:rPr>
        <w:t>，开展中西医结合治疗</w:t>
      </w:r>
      <w:r>
        <w:rPr>
          <w:rFonts w:ascii="仿宋" w:hAnsi="仿宋" w:eastAsia="仿宋"/>
          <w:color w:val="auto"/>
          <w:sz w:val="24"/>
          <w:szCs w:val="24"/>
        </w:rPr>
        <w:t>研究，形成有效的临床解决方案；研发具有自动提供初步评价、诊断与治疗建议的智能化动态尿流率仪和电子尿裤；制定适宜我国老年人尿失禁的评估、诊断与干预操作</w:t>
      </w:r>
      <w:r>
        <w:rPr>
          <w:rFonts w:hint="eastAsia" w:ascii="仿宋" w:hAnsi="仿宋" w:eastAsia="仿宋"/>
          <w:color w:val="auto"/>
          <w:sz w:val="24"/>
          <w:szCs w:val="24"/>
        </w:rPr>
        <w:t>专家共识</w:t>
      </w:r>
      <w:r>
        <w:rPr>
          <w:rFonts w:ascii="仿宋" w:hAnsi="仿宋" w:eastAsia="仿宋"/>
          <w:color w:val="auto"/>
          <w:sz w:val="24"/>
          <w:szCs w:val="24"/>
        </w:rPr>
        <w:t>或指南。</w:t>
      </w:r>
    </w:p>
    <w:p>
      <w:pPr>
        <w:adjustRightInd w:val="0"/>
        <w:snapToGrid w:val="0"/>
        <w:spacing w:before="156" w:beforeLines="50" w:after="156" w:afterLines="50" w:line="360" w:lineRule="auto"/>
        <w:ind w:firstLine="482" w:firstLineChars="200"/>
        <w:rPr>
          <w:rFonts w:ascii="仿宋" w:hAnsi="仿宋" w:eastAsia="仿宋"/>
          <w:color w:val="auto"/>
          <w:sz w:val="24"/>
          <w:szCs w:val="24"/>
        </w:rPr>
      </w:pPr>
      <w:r>
        <w:rPr>
          <w:rFonts w:ascii="仿宋" w:hAnsi="仿宋" w:eastAsia="仿宋"/>
          <w:b/>
          <w:color w:val="auto"/>
          <w:sz w:val="24"/>
          <w:szCs w:val="24"/>
        </w:rPr>
        <w:t>考核指标：</w:t>
      </w:r>
      <w:r>
        <w:rPr>
          <w:rFonts w:ascii="仿宋" w:hAnsi="仿宋" w:eastAsia="仿宋"/>
          <w:color w:val="auto"/>
          <w:sz w:val="24"/>
          <w:szCs w:val="24"/>
        </w:rPr>
        <w:t>建立不少于6项适宜我国老年尿失禁预防与延缓尿失禁的关键干预技术；研发具有自动提供评价、诊断与治疗建议的智能化动态尿流率仪和电子尿裤；</w:t>
      </w:r>
      <w:r>
        <w:rPr>
          <w:rFonts w:hint="eastAsia" w:ascii="仿宋" w:hAnsi="仿宋" w:eastAsia="仿宋"/>
          <w:color w:val="auto"/>
          <w:sz w:val="24"/>
          <w:szCs w:val="24"/>
        </w:rPr>
        <w:t>形成不少于</w:t>
      </w:r>
      <w:r>
        <w:rPr>
          <w:rFonts w:ascii="仿宋" w:hAnsi="仿宋" w:eastAsia="仿宋"/>
          <w:color w:val="auto"/>
          <w:sz w:val="24"/>
          <w:szCs w:val="24"/>
        </w:rPr>
        <w:t>4</w:t>
      </w:r>
      <w:r>
        <w:rPr>
          <w:rFonts w:hint="eastAsia" w:ascii="仿宋" w:hAnsi="仿宋" w:eastAsia="仿宋"/>
          <w:color w:val="auto"/>
          <w:sz w:val="24"/>
          <w:szCs w:val="24"/>
        </w:rPr>
        <w:t>套临床解决方案</w:t>
      </w:r>
      <w:r>
        <w:rPr>
          <w:rFonts w:ascii="仿宋" w:hAnsi="仿宋" w:eastAsia="仿宋"/>
          <w:color w:val="auto"/>
          <w:sz w:val="24"/>
          <w:szCs w:val="24"/>
        </w:rPr>
        <w:t>；</w:t>
      </w:r>
      <w:r>
        <w:rPr>
          <w:rFonts w:hint="eastAsia" w:ascii="仿宋" w:hAnsi="仿宋" w:eastAsia="仿宋"/>
          <w:color w:val="auto"/>
          <w:sz w:val="24"/>
          <w:szCs w:val="24"/>
        </w:rPr>
        <w:t>制定</w:t>
      </w:r>
      <w:r>
        <w:rPr>
          <w:rFonts w:ascii="仿宋" w:hAnsi="仿宋" w:eastAsia="仿宋"/>
          <w:color w:val="auto"/>
          <w:sz w:val="24"/>
          <w:szCs w:val="24"/>
        </w:rPr>
        <w:t>适宜我国老年人尿失禁的评估、诊断与干预操作</w:t>
      </w:r>
      <w:r>
        <w:rPr>
          <w:rFonts w:hint="eastAsia" w:ascii="仿宋" w:hAnsi="仿宋" w:eastAsia="仿宋"/>
          <w:color w:val="auto"/>
          <w:sz w:val="24"/>
          <w:szCs w:val="24"/>
        </w:rPr>
        <w:t>专家共识或</w:t>
      </w:r>
      <w:r>
        <w:rPr>
          <w:rFonts w:ascii="仿宋" w:hAnsi="仿宋" w:eastAsia="仿宋"/>
          <w:color w:val="auto"/>
          <w:sz w:val="24"/>
          <w:szCs w:val="24"/>
        </w:rPr>
        <w:t>指南。</w:t>
      </w:r>
    </w:p>
    <w:p>
      <w:pPr>
        <w:pStyle w:val="17"/>
        <w:snapToGrid w:val="0"/>
        <w:spacing w:before="156" w:beforeLines="50" w:after="156" w:afterLines="50" w:line="360" w:lineRule="auto"/>
        <w:ind w:firstLine="472" w:firstLineChars="196"/>
        <w:jc w:val="both"/>
        <w:rPr>
          <w:rFonts w:ascii="仿宋" w:hAnsi="仿宋" w:eastAsia="仿宋"/>
          <w:color w:val="auto"/>
          <w:kern w:val="2"/>
        </w:rPr>
      </w:pPr>
      <w:r>
        <w:rPr>
          <w:rFonts w:ascii="仿宋" w:hAnsi="仿宋" w:eastAsia="仿宋"/>
          <w:b/>
          <w:color w:val="auto"/>
          <w:kern w:val="2"/>
        </w:rPr>
        <w:t>支持年限：</w:t>
      </w:r>
      <w:r>
        <w:rPr>
          <w:rFonts w:ascii="仿宋" w:hAnsi="仿宋" w:eastAsia="仿宋"/>
          <w:color w:val="auto"/>
          <w:kern w:val="2"/>
        </w:rPr>
        <w:t>2018-2022年。</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156" w:beforeLines="50" w:after="156" w:afterLines="50" w:line="360" w:lineRule="auto"/>
        <w:ind w:firstLine="482" w:firstLineChars="200"/>
        <w:jc w:val="left"/>
        <w:rPr>
          <w:rFonts w:ascii="仿宋" w:hAnsi="仿宋" w:eastAsia="仿宋"/>
          <w:b/>
          <w:color w:val="auto"/>
          <w:sz w:val="24"/>
          <w:szCs w:val="24"/>
        </w:rPr>
      </w:pPr>
      <w:r>
        <w:rPr>
          <w:rFonts w:ascii="仿宋" w:hAnsi="仿宋" w:eastAsia="仿宋"/>
          <w:b/>
          <w:color w:val="auto"/>
          <w:sz w:val="24"/>
          <w:szCs w:val="24"/>
        </w:rPr>
        <w:t>拟支持项目数：</w:t>
      </w:r>
      <w:r>
        <w:rPr>
          <w:rFonts w:ascii="仿宋" w:hAnsi="仿宋" w:eastAsia="仿宋"/>
          <w:color w:val="auto"/>
          <w:sz w:val="24"/>
          <w:szCs w:val="24"/>
        </w:rPr>
        <w:t>1-2项。</w:t>
      </w:r>
    </w:p>
    <w:p>
      <w:pPr>
        <w:adjustRightInd w:val="0"/>
        <w:snapToGrid w:val="0"/>
        <w:spacing w:before="156" w:beforeLines="50" w:after="156" w:afterLines="50" w:line="360" w:lineRule="auto"/>
        <w:ind w:firstLine="472" w:firstLineChars="196"/>
        <w:rPr>
          <w:rFonts w:ascii="仿宋" w:hAnsi="仿宋" w:eastAsia="仿宋" w:cs="仿宋_GB2312"/>
          <w:sz w:val="24"/>
          <w:szCs w:val="24"/>
        </w:rPr>
      </w:pPr>
      <w:r>
        <w:rPr>
          <w:rFonts w:ascii="仿宋" w:hAnsi="仿宋" w:eastAsia="仿宋"/>
          <w:b/>
          <w:bCs/>
          <w:color w:val="auto"/>
          <w:kern w:val="0"/>
          <w:sz w:val="24"/>
          <w:szCs w:val="24"/>
        </w:rPr>
        <w:t>有关说明：</w:t>
      </w:r>
      <w:r>
        <w:rPr>
          <w:rFonts w:hint="eastAsia" w:ascii="仿宋" w:hAnsi="仿宋" w:eastAsia="仿宋"/>
          <w:bCs/>
          <w:color w:val="auto"/>
          <w:kern w:val="0"/>
          <w:sz w:val="24"/>
          <w:szCs w:val="24"/>
        </w:rPr>
        <w:t>由建有国家临床医学研究中心的医疗机构牵头申报</w:t>
      </w:r>
      <w:r>
        <w:rPr>
          <w:rFonts w:ascii="仿宋" w:hAnsi="仿宋" w:eastAsia="仿宋"/>
          <w:color w:val="auto"/>
          <w:sz w:val="24"/>
          <w:szCs w:val="24"/>
        </w:rPr>
        <w:t>。</w:t>
      </w:r>
      <w:r>
        <w:rPr>
          <w:rFonts w:hint="eastAsia" w:ascii="仿宋" w:hAnsi="仿宋" w:eastAsia="仿宋" w:cs="仿宋_GB2312"/>
          <w:sz w:val="24"/>
          <w:szCs w:val="24"/>
        </w:rPr>
        <w:t>其他经费（包括地方财政经费、单位出资及社会渠道资金等）与中央财政经费比例不低于</w:t>
      </w:r>
      <w:r>
        <w:rPr>
          <w:rFonts w:ascii="仿宋" w:hAnsi="仿宋" w:eastAsia="仿宋" w:cs="仿宋_GB2312"/>
          <w:sz w:val="24"/>
          <w:szCs w:val="24"/>
        </w:rPr>
        <w:t>1:1</w:t>
      </w:r>
      <w:r>
        <w:rPr>
          <w:rFonts w:hint="eastAsia" w:ascii="仿宋" w:hAnsi="仿宋" w:eastAsia="仿宋" w:cs="仿宋_GB2312"/>
          <w:sz w:val="24"/>
          <w:szCs w:val="24"/>
        </w:rPr>
        <w:t>。</w:t>
      </w:r>
    </w:p>
    <w:p>
      <w:pPr>
        <w:adjustRightInd w:val="0"/>
        <w:snapToGrid w:val="0"/>
        <w:spacing w:before="156" w:beforeLines="50" w:after="156" w:afterLines="50" w:line="360" w:lineRule="auto"/>
        <w:ind w:firstLine="470" w:firstLineChars="196"/>
        <w:rPr>
          <w:rFonts w:ascii="仿宋" w:hAnsi="仿宋" w:eastAsia="仿宋"/>
          <w:sz w:val="24"/>
          <w:szCs w:val="24"/>
        </w:rPr>
      </w:pPr>
    </w:p>
    <w:p>
      <w:pPr>
        <w:pStyle w:val="4"/>
        <w:adjustRightInd w:val="0"/>
        <w:snapToGrid w:val="0"/>
        <w:spacing w:before="156" w:beforeLines="50" w:after="156" w:afterLines="50" w:line="360" w:lineRule="auto"/>
        <w:rPr>
          <w:rFonts w:ascii="仿宋" w:hAnsi="仿宋" w:eastAsia="仿宋"/>
          <w:sz w:val="24"/>
          <w:szCs w:val="24"/>
        </w:rPr>
      </w:pPr>
      <w:r>
        <w:rPr>
          <w:rFonts w:ascii="仿宋" w:hAnsi="仿宋" w:eastAsia="仿宋"/>
          <w:sz w:val="24"/>
          <w:szCs w:val="24"/>
        </w:rPr>
        <w:t>3.2.</w:t>
      </w:r>
      <w:r>
        <w:rPr>
          <w:rFonts w:hint="eastAsia" w:ascii="仿宋" w:hAnsi="仿宋" w:eastAsia="仿宋"/>
          <w:sz w:val="24"/>
          <w:szCs w:val="24"/>
        </w:rPr>
        <w:t>3</w:t>
      </w:r>
      <w:r>
        <w:rPr>
          <w:rFonts w:ascii="仿宋" w:hAnsi="仿宋" w:eastAsia="仿宋"/>
          <w:color w:val="auto"/>
          <w:sz w:val="24"/>
          <w:szCs w:val="24"/>
        </w:rPr>
        <w:t>老年康复综合技术体系的研究</w:t>
      </w:r>
    </w:p>
    <w:p>
      <w:pPr>
        <w:adjustRightInd w:val="0"/>
        <w:snapToGrid w:val="0"/>
        <w:spacing w:before="156" w:beforeLines="50" w:after="156" w:afterLines="50" w:line="360" w:lineRule="auto"/>
        <w:ind w:firstLine="482" w:firstLineChars="200"/>
        <w:rPr>
          <w:rFonts w:ascii="仿宋" w:hAnsi="仿宋" w:eastAsia="仿宋"/>
          <w:color w:val="auto"/>
          <w:sz w:val="24"/>
          <w:szCs w:val="24"/>
        </w:rPr>
      </w:pPr>
      <w:r>
        <w:rPr>
          <w:rFonts w:ascii="仿宋" w:hAnsi="仿宋" w:eastAsia="仿宋"/>
          <w:b/>
          <w:bCs/>
          <w:color w:val="auto"/>
          <w:sz w:val="24"/>
          <w:szCs w:val="24"/>
        </w:rPr>
        <w:t>研究内容:</w:t>
      </w:r>
      <w:r>
        <w:rPr>
          <w:rFonts w:ascii="仿宋" w:hAnsi="仿宋" w:eastAsia="仿宋"/>
          <w:color w:val="auto"/>
          <w:sz w:val="24"/>
          <w:szCs w:val="24"/>
        </w:rPr>
        <w:t>研究老年人脑卒中、心血管系统疾病、呼吸功能障碍等疾病康复的适宜技术，制订规范的老年三级康复技术方案，建立老年三级康复体系的管理和质量控制；建立老年疾病救治-机构康复-社区-站点/家庭康复-失能监测的全周期康复服务系统。研发适宜的康复技术服务流程与服务规范，建立多学科诊疗模式下的老年康复效果评估体系。</w:t>
      </w:r>
      <w:r>
        <w:rPr>
          <w:rFonts w:hint="eastAsia" w:ascii="仿宋" w:hAnsi="仿宋" w:eastAsia="仿宋"/>
          <w:color w:val="auto"/>
          <w:sz w:val="24"/>
          <w:szCs w:val="24"/>
        </w:rPr>
        <w:t>开展</w:t>
      </w:r>
      <w:r>
        <w:rPr>
          <w:rFonts w:ascii="仿宋" w:hAnsi="仿宋" w:eastAsia="仿宋"/>
          <w:color w:val="auto"/>
          <w:sz w:val="24"/>
          <w:szCs w:val="24"/>
        </w:rPr>
        <w:t>康复护理衔接技术研究，初步形成</w:t>
      </w:r>
      <w:r>
        <w:rPr>
          <w:rFonts w:hint="eastAsia" w:ascii="仿宋" w:hAnsi="仿宋" w:eastAsia="仿宋"/>
          <w:color w:val="auto"/>
          <w:sz w:val="24"/>
          <w:szCs w:val="24"/>
        </w:rPr>
        <w:t>针对</w:t>
      </w:r>
      <w:r>
        <w:rPr>
          <w:rFonts w:ascii="仿宋" w:hAnsi="仿宋" w:eastAsia="仿宋"/>
          <w:color w:val="auto"/>
          <w:sz w:val="24"/>
          <w:szCs w:val="24"/>
        </w:rPr>
        <w:t>严重</w:t>
      </w:r>
      <w:r>
        <w:rPr>
          <w:rFonts w:hint="eastAsia" w:ascii="仿宋" w:hAnsi="仿宋" w:eastAsia="仿宋"/>
          <w:color w:val="auto"/>
          <w:sz w:val="24"/>
          <w:szCs w:val="24"/>
        </w:rPr>
        <w:t>失能</w:t>
      </w:r>
      <w:r>
        <w:rPr>
          <w:rFonts w:ascii="仿宋" w:hAnsi="仿宋" w:eastAsia="仿宋"/>
          <w:color w:val="auto"/>
          <w:sz w:val="24"/>
          <w:szCs w:val="24"/>
        </w:rPr>
        <w:t>、衰</w:t>
      </w:r>
      <w:r>
        <w:rPr>
          <w:rFonts w:hint="eastAsia" w:ascii="仿宋" w:hAnsi="仿宋" w:eastAsia="仿宋"/>
          <w:color w:val="auto"/>
          <w:sz w:val="24"/>
          <w:szCs w:val="24"/>
        </w:rPr>
        <w:t>弱</w:t>
      </w:r>
      <w:r>
        <w:rPr>
          <w:rFonts w:ascii="仿宋" w:hAnsi="仿宋" w:eastAsia="仿宋"/>
          <w:color w:val="auto"/>
          <w:sz w:val="24"/>
          <w:szCs w:val="24"/>
        </w:rPr>
        <w:t>和临终状态的老年康复技术的专家共识；开发老年虚拟益智游戏。</w:t>
      </w:r>
    </w:p>
    <w:p>
      <w:pPr>
        <w:adjustRightInd w:val="0"/>
        <w:snapToGrid w:val="0"/>
        <w:spacing w:before="156" w:beforeLines="50" w:after="156" w:afterLines="50" w:line="360" w:lineRule="auto"/>
        <w:ind w:firstLine="482" w:firstLineChars="200"/>
        <w:rPr>
          <w:rFonts w:ascii="仿宋" w:hAnsi="仿宋" w:eastAsia="仿宋"/>
          <w:color w:val="auto"/>
          <w:sz w:val="24"/>
          <w:szCs w:val="24"/>
        </w:rPr>
      </w:pPr>
      <w:r>
        <w:rPr>
          <w:rFonts w:ascii="仿宋" w:hAnsi="仿宋" w:eastAsia="仿宋"/>
          <w:b/>
          <w:bCs/>
          <w:color w:val="auto"/>
          <w:sz w:val="24"/>
          <w:szCs w:val="24"/>
        </w:rPr>
        <w:t>考核指标：</w:t>
      </w:r>
      <w:r>
        <w:rPr>
          <w:rFonts w:ascii="仿宋" w:hAnsi="仿宋" w:eastAsia="仿宋"/>
          <w:color w:val="auto"/>
          <w:sz w:val="24"/>
          <w:szCs w:val="24"/>
        </w:rPr>
        <w:t>产出不少于6项针对老年常见功能障碍的三级康复关键技术；建立涵盖不少于10种老年常见疾病所需的老年功能障碍的康复技术方案和全周期康复服务系统；完成各康复服务系统的服务流程与服务规范；产出不少于3套基于多学科诊疗模式的老年功能康复效果评估体系，制定康复效果的评价标准；建立老年康复质量管理控制体系；</w:t>
      </w:r>
      <w:r>
        <w:rPr>
          <w:rFonts w:hint="eastAsia" w:ascii="仿宋" w:hAnsi="仿宋" w:eastAsia="仿宋"/>
          <w:color w:val="auto"/>
          <w:sz w:val="24"/>
          <w:szCs w:val="24"/>
        </w:rPr>
        <w:t>建立</w:t>
      </w:r>
      <w:r>
        <w:rPr>
          <w:rFonts w:ascii="仿宋" w:hAnsi="仿宋" w:eastAsia="仿宋"/>
          <w:color w:val="auto"/>
          <w:sz w:val="24"/>
          <w:szCs w:val="24"/>
        </w:rPr>
        <w:t>不少于</w:t>
      </w:r>
      <w:r>
        <w:rPr>
          <w:rFonts w:hint="eastAsia" w:ascii="仿宋" w:hAnsi="仿宋" w:eastAsia="仿宋"/>
          <w:color w:val="auto"/>
          <w:sz w:val="24"/>
          <w:szCs w:val="24"/>
        </w:rPr>
        <w:t>10个城市</w:t>
      </w:r>
      <w:r>
        <w:rPr>
          <w:rFonts w:ascii="仿宋" w:hAnsi="仿宋" w:eastAsia="仿宋"/>
          <w:color w:val="auto"/>
          <w:sz w:val="24"/>
          <w:szCs w:val="24"/>
        </w:rPr>
        <w:t>老年</w:t>
      </w:r>
      <w:r>
        <w:rPr>
          <w:rFonts w:hint="eastAsia" w:ascii="仿宋" w:hAnsi="仿宋" w:eastAsia="仿宋"/>
          <w:color w:val="auto"/>
          <w:sz w:val="24"/>
          <w:szCs w:val="24"/>
        </w:rPr>
        <w:t>失能全周期康复</w:t>
      </w:r>
      <w:r>
        <w:rPr>
          <w:rFonts w:ascii="仿宋" w:hAnsi="仿宋" w:eastAsia="仿宋"/>
          <w:color w:val="auto"/>
          <w:sz w:val="24"/>
          <w:szCs w:val="24"/>
        </w:rPr>
        <w:t>服务系统</w:t>
      </w:r>
      <w:r>
        <w:rPr>
          <w:rFonts w:hint="eastAsia" w:ascii="仿宋" w:hAnsi="仿宋" w:eastAsia="仿宋"/>
          <w:color w:val="auto"/>
          <w:sz w:val="24"/>
          <w:szCs w:val="24"/>
        </w:rPr>
        <w:t>；发布针对</w:t>
      </w:r>
      <w:r>
        <w:rPr>
          <w:rFonts w:ascii="仿宋" w:hAnsi="仿宋" w:eastAsia="仿宋"/>
          <w:color w:val="auto"/>
          <w:sz w:val="24"/>
          <w:szCs w:val="24"/>
        </w:rPr>
        <w:t>严重</w:t>
      </w:r>
      <w:r>
        <w:rPr>
          <w:rFonts w:hint="eastAsia" w:ascii="仿宋" w:hAnsi="仿宋" w:eastAsia="仿宋"/>
          <w:color w:val="auto"/>
          <w:sz w:val="24"/>
          <w:szCs w:val="24"/>
        </w:rPr>
        <w:t>失能</w:t>
      </w:r>
      <w:r>
        <w:rPr>
          <w:rFonts w:ascii="仿宋" w:hAnsi="仿宋" w:eastAsia="仿宋"/>
          <w:color w:val="auto"/>
          <w:sz w:val="24"/>
          <w:szCs w:val="24"/>
        </w:rPr>
        <w:t>、衰</w:t>
      </w:r>
      <w:r>
        <w:rPr>
          <w:rFonts w:hint="eastAsia" w:ascii="仿宋" w:hAnsi="仿宋" w:eastAsia="仿宋"/>
          <w:color w:val="auto"/>
          <w:sz w:val="24"/>
          <w:szCs w:val="24"/>
        </w:rPr>
        <w:t>弱</w:t>
      </w:r>
      <w:r>
        <w:rPr>
          <w:rFonts w:ascii="仿宋" w:hAnsi="仿宋" w:eastAsia="仿宋"/>
          <w:color w:val="auto"/>
          <w:sz w:val="24"/>
          <w:szCs w:val="24"/>
        </w:rPr>
        <w:t>和临终状态的老年康复技术专家共识</w:t>
      </w:r>
      <w:r>
        <w:rPr>
          <w:rFonts w:hint="eastAsia" w:ascii="仿宋" w:hAnsi="仿宋" w:eastAsia="仿宋"/>
          <w:color w:val="auto"/>
          <w:sz w:val="24"/>
          <w:szCs w:val="24"/>
        </w:rPr>
        <w:t>；</w:t>
      </w:r>
      <w:r>
        <w:rPr>
          <w:rFonts w:ascii="仿宋" w:hAnsi="仿宋" w:eastAsia="仿宋"/>
          <w:color w:val="auto"/>
          <w:sz w:val="24"/>
          <w:szCs w:val="24"/>
        </w:rPr>
        <w:t>开发2套老年虚拟益智游戏。</w:t>
      </w:r>
    </w:p>
    <w:p>
      <w:pPr>
        <w:widowControl/>
        <w:shd w:val="clear" w:color="auto" w:fill="FFFFFF"/>
        <w:adjustRightInd w:val="0"/>
        <w:snapToGrid w:val="0"/>
        <w:spacing w:before="156" w:beforeLines="50" w:after="156" w:afterLines="50" w:line="360" w:lineRule="auto"/>
        <w:ind w:firstLine="640"/>
        <w:rPr>
          <w:rFonts w:ascii="仿宋" w:hAnsi="仿宋" w:eastAsia="仿宋"/>
          <w:color w:val="auto"/>
          <w:sz w:val="24"/>
          <w:szCs w:val="24"/>
        </w:rPr>
      </w:pPr>
      <w:r>
        <w:rPr>
          <w:rFonts w:ascii="仿宋" w:hAnsi="仿宋" w:eastAsia="仿宋"/>
          <w:b/>
          <w:bCs/>
          <w:color w:val="auto"/>
          <w:sz w:val="24"/>
          <w:szCs w:val="24"/>
        </w:rPr>
        <w:t>支持年限：</w:t>
      </w:r>
      <w:r>
        <w:rPr>
          <w:rFonts w:ascii="仿宋" w:hAnsi="仿宋" w:eastAsia="仿宋"/>
          <w:color w:val="auto"/>
          <w:sz w:val="24"/>
          <w:szCs w:val="24"/>
        </w:rPr>
        <w:t>201</w:t>
      </w:r>
      <w:r>
        <w:rPr>
          <w:rFonts w:hint="eastAsia" w:ascii="仿宋" w:hAnsi="仿宋" w:eastAsia="仿宋"/>
          <w:color w:val="auto"/>
          <w:sz w:val="24"/>
          <w:szCs w:val="24"/>
        </w:rPr>
        <w:t>8-</w:t>
      </w:r>
      <w:r>
        <w:rPr>
          <w:rFonts w:ascii="仿宋" w:hAnsi="仿宋" w:eastAsia="仿宋"/>
          <w:color w:val="auto"/>
          <w:sz w:val="24"/>
          <w:szCs w:val="24"/>
        </w:rPr>
        <w:t>2022年。</w:t>
      </w:r>
    </w:p>
    <w:p>
      <w:pPr>
        <w:adjustRightInd w:val="0"/>
        <w:snapToGrid w:val="0"/>
        <w:spacing w:before="156" w:beforeLines="50" w:after="156" w:afterLines="50" w:line="360" w:lineRule="auto"/>
        <w:ind w:firstLine="482" w:firstLineChars="200"/>
        <w:rPr>
          <w:rFonts w:ascii="仿宋" w:hAnsi="仿宋" w:eastAsia="仿宋"/>
          <w:color w:val="auto"/>
          <w:sz w:val="24"/>
          <w:szCs w:val="24"/>
        </w:rPr>
      </w:pPr>
      <w:r>
        <w:rPr>
          <w:rFonts w:ascii="仿宋" w:hAnsi="仿宋" w:eastAsia="仿宋"/>
          <w:b/>
          <w:bCs/>
          <w:color w:val="auto"/>
          <w:sz w:val="24"/>
          <w:szCs w:val="24"/>
        </w:rPr>
        <w:t>拟支持项目数：</w:t>
      </w:r>
      <w:r>
        <w:rPr>
          <w:rFonts w:ascii="仿宋" w:hAnsi="仿宋" w:eastAsia="仿宋"/>
          <w:color w:val="auto"/>
          <w:sz w:val="24"/>
          <w:szCs w:val="24"/>
        </w:rPr>
        <w:t>1-2项。</w:t>
      </w:r>
    </w:p>
    <w:p>
      <w:pPr>
        <w:adjustRightInd w:val="0"/>
        <w:snapToGrid w:val="0"/>
        <w:spacing w:before="156" w:beforeLines="50" w:after="156" w:afterLines="50" w:line="360" w:lineRule="auto"/>
        <w:ind w:firstLine="472" w:firstLineChars="196"/>
        <w:rPr>
          <w:rFonts w:ascii="仿宋" w:hAnsi="仿宋" w:eastAsia="仿宋" w:cs="仿宋_GB2312"/>
          <w:sz w:val="24"/>
          <w:szCs w:val="24"/>
        </w:rPr>
      </w:pPr>
      <w:r>
        <w:rPr>
          <w:rFonts w:ascii="仿宋" w:hAnsi="仿宋" w:eastAsia="仿宋"/>
          <w:b/>
          <w:bCs/>
          <w:color w:val="auto"/>
          <w:sz w:val="24"/>
          <w:szCs w:val="24"/>
        </w:rPr>
        <w:t>有关说明：</w:t>
      </w:r>
      <w:r>
        <w:rPr>
          <w:rFonts w:hint="eastAsia" w:ascii="仿宋" w:hAnsi="仿宋" w:eastAsia="仿宋"/>
          <w:bCs/>
          <w:color w:val="auto"/>
          <w:kern w:val="0"/>
          <w:sz w:val="24"/>
          <w:szCs w:val="24"/>
        </w:rPr>
        <w:t>由建有国家临床医学研究中心的医疗机构牵头申报</w:t>
      </w:r>
      <w:r>
        <w:rPr>
          <w:rFonts w:hint="eastAsia" w:ascii="仿宋" w:hAnsi="仿宋" w:eastAsia="仿宋" w:cs="Calibri"/>
          <w:kern w:val="0"/>
          <w:sz w:val="24"/>
          <w:szCs w:val="24"/>
        </w:rPr>
        <w:t>，</w:t>
      </w:r>
      <w:r>
        <w:rPr>
          <w:rFonts w:ascii="仿宋" w:hAnsi="仿宋" w:eastAsia="仿宋"/>
          <w:color w:val="auto"/>
          <w:sz w:val="24"/>
          <w:szCs w:val="24"/>
        </w:rPr>
        <w:t>不同级别医院、社区和科研院所参与联合申报。同时具有区域医联体基础。</w:t>
      </w:r>
      <w:r>
        <w:rPr>
          <w:rFonts w:hint="eastAsia" w:ascii="仿宋" w:hAnsi="仿宋" w:eastAsia="仿宋" w:cs="仿宋_GB2312"/>
          <w:sz w:val="24"/>
          <w:szCs w:val="24"/>
        </w:rPr>
        <w:t>其他经费（包括地方财政经费、单位出资及社会渠道资金等）与中央财政经费比例不低于</w:t>
      </w:r>
      <w:r>
        <w:rPr>
          <w:rFonts w:ascii="仿宋" w:hAnsi="仿宋" w:eastAsia="仿宋" w:cs="仿宋_GB2312"/>
          <w:sz w:val="24"/>
          <w:szCs w:val="24"/>
        </w:rPr>
        <w:t>1:1</w:t>
      </w:r>
      <w:r>
        <w:rPr>
          <w:rFonts w:hint="eastAsia" w:ascii="仿宋" w:hAnsi="仿宋" w:eastAsia="仿宋" w:cs="仿宋_GB2312"/>
          <w:sz w:val="24"/>
          <w:szCs w:val="24"/>
        </w:rPr>
        <w:t>。</w:t>
      </w:r>
    </w:p>
    <w:p>
      <w:pPr>
        <w:adjustRightInd w:val="0"/>
        <w:snapToGrid w:val="0"/>
        <w:spacing w:before="156" w:beforeLines="50" w:after="156" w:afterLines="50" w:line="360" w:lineRule="auto"/>
        <w:ind w:firstLine="470" w:firstLineChars="196"/>
        <w:rPr>
          <w:rFonts w:ascii="仿宋" w:hAnsi="仿宋" w:eastAsia="仿宋"/>
          <w:sz w:val="24"/>
          <w:szCs w:val="24"/>
        </w:rPr>
      </w:pPr>
    </w:p>
    <w:p>
      <w:pPr>
        <w:pStyle w:val="4"/>
        <w:adjustRightInd w:val="0"/>
        <w:snapToGrid w:val="0"/>
        <w:spacing w:before="156" w:beforeLines="50" w:after="156" w:afterLines="50" w:line="360" w:lineRule="auto"/>
        <w:rPr>
          <w:rFonts w:ascii="仿宋" w:hAnsi="仿宋" w:eastAsia="仿宋"/>
          <w:sz w:val="24"/>
          <w:szCs w:val="24"/>
        </w:rPr>
      </w:pPr>
      <w:r>
        <w:rPr>
          <w:rFonts w:ascii="仿宋" w:hAnsi="仿宋" w:eastAsia="仿宋"/>
          <w:sz w:val="24"/>
          <w:szCs w:val="24"/>
        </w:rPr>
        <w:t>3.2.</w:t>
      </w:r>
      <w:r>
        <w:rPr>
          <w:rFonts w:hint="eastAsia" w:ascii="仿宋" w:hAnsi="仿宋" w:eastAsia="仿宋"/>
          <w:sz w:val="24"/>
          <w:szCs w:val="24"/>
        </w:rPr>
        <w:t>4</w:t>
      </w:r>
      <w:r>
        <w:rPr>
          <w:rFonts w:ascii="仿宋" w:hAnsi="仿宋" w:eastAsia="仿宋"/>
          <w:sz w:val="24"/>
          <w:szCs w:val="24"/>
        </w:rPr>
        <w:t>医养结合支持解决方案研究</w:t>
      </w:r>
    </w:p>
    <w:p>
      <w:pPr>
        <w:adjustRightInd w:val="0"/>
        <w:snapToGrid w:val="0"/>
        <w:spacing w:before="156" w:beforeLines="50" w:after="156" w:afterLines="50" w:line="360" w:lineRule="auto"/>
        <w:ind w:firstLine="482" w:firstLineChars="200"/>
        <w:rPr>
          <w:rFonts w:ascii="仿宋" w:hAnsi="仿宋" w:eastAsia="仿宋"/>
          <w:bCs/>
          <w:color w:val="auto"/>
          <w:sz w:val="24"/>
          <w:szCs w:val="24"/>
        </w:rPr>
      </w:pPr>
      <w:r>
        <w:rPr>
          <w:rFonts w:ascii="仿宋" w:hAnsi="仿宋" w:eastAsia="仿宋"/>
          <w:b/>
          <w:bCs/>
          <w:color w:val="auto"/>
          <w:sz w:val="24"/>
          <w:szCs w:val="24"/>
        </w:rPr>
        <w:t>研究内容：</w:t>
      </w:r>
      <w:r>
        <w:rPr>
          <w:rFonts w:ascii="仿宋" w:hAnsi="仿宋" w:eastAsia="仿宋"/>
          <w:bCs/>
          <w:color w:val="auto"/>
          <w:sz w:val="24"/>
          <w:szCs w:val="24"/>
        </w:rPr>
        <w:t>研究适应不同经济发展地区的医养结合服务模式；研究适合机构、社区、居家的医养结合服务模式；</w:t>
      </w:r>
      <w:r>
        <w:rPr>
          <w:rFonts w:hint="eastAsia" w:ascii="仿宋" w:hAnsi="仿宋" w:eastAsia="仿宋"/>
          <w:sz w:val="24"/>
          <w:szCs w:val="24"/>
        </w:rPr>
        <w:t>制定医养结合服务机构综合评价体系及规范化管理制度</w:t>
      </w:r>
      <w:r>
        <w:rPr>
          <w:rFonts w:hint="eastAsia" w:ascii="仿宋" w:hAnsi="仿宋" w:eastAsia="仿宋"/>
          <w:bCs/>
          <w:color w:val="auto"/>
          <w:sz w:val="24"/>
          <w:szCs w:val="24"/>
        </w:rPr>
        <w:t>；</w:t>
      </w:r>
      <w:r>
        <w:rPr>
          <w:rFonts w:ascii="仿宋" w:hAnsi="仿宋" w:eastAsia="仿宋"/>
          <w:bCs/>
          <w:color w:val="auto"/>
          <w:sz w:val="24"/>
          <w:szCs w:val="24"/>
        </w:rPr>
        <w:t>建立社区虚拟医养结合平台；建立医养结合机构服务标准、工作质量综合评价体系及规范化管理流程与制度；建立医养结合养老服务人员能力建设标准；建立医养结合服务培训系统</w:t>
      </w:r>
      <w:bookmarkStart w:id="1" w:name="_Hlk498376083"/>
      <w:r>
        <w:rPr>
          <w:rFonts w:ascii="仿宋" w:hAnsi="仿宋" w:eastAsia="仿宋"/>
          <w:bCs/>
          <w:color w:val="auto"/>
          <w:sz w:val="24"/>
          <w:szCs w:val="24"/>
        </w:rPr>
        <w:t>，形成网络平台</w:t>
      </w:r>
      <w:bookmarkEnd w:id="1"/>
      <w:r>
        <w:rPr>
          <w:rFonts w:ascii="仿宋" w:hAnsi="仿宋" w:eastAsia="仿宋"/>
          <w:bCs/>
          <w:color w:val="auto"/>
          <w:sz w:val="24"/>
          <w:szCs w:val="24"/>
        </w:rPr>
        <w:t>和电教培训教程；研发老年人生活及健康状况的电子监测系统，及健康风险报警系统；研发医养结合技术流动服务车及车载设备；研究不同模式的服务规范，并示范应用。</w:t>
      </w:r>
    </w:p>
    <w:p>
      <w:pPr>
        <w:adjustRightInd w:val="0"/>
        <w:snapToGrid w:val="0"/>
        <w:spacing w:before="156" w:beforeLines="50" w:after="156" w:afterLines="50" w:line="360" w:lineRule="auto"/>
        <w:ind w:firstLine="482" w:firstLineChars="200"/>
        <w:rPr>
          <w:rFonts w:ascii="仿宋" w:hAnsi="仿宋" w:eastAsia="仿宋"/>
          <w:bCs/>
          <w:color w:val="auto"/>
          <w:sz w:val="24"/>
          <w:szCs w:val="24"/>
        </w:rPr>
      </w:pPr>
      <w:r>
        <w:rPr>
          <w:rFonts w:ascii="仿宋" w:hAnsi="仿宋" w:eastAsia="仿宋"/>
          <w:b/>
          <w:bCs/>
          <w:color w:val="auto"/>
          <w:sz w:val="24"/>
          <w:szCs w:val="24"/>
        </w:rPr>
        <w:t>考核指标</w:t>
      </w:r>
      <w:r>
        <w:rPr>
          <w:rFonts w:hint="eastAsia" w:ascii="仿宋" w:hAnsi="仿宋" w:eastAsia="仿宋"/>
          <w:b/>
          <w:bCs/>
          <w:color w:val="auto"/>
          <w:sz w:val="24"/>
          <w:szCs w:val="24"/>
        </w:rPr>
        <w:t>：</w:t>
      </w:r>
      <w:r>
        <w:rPr>
          <w:rFonts w:ascii="仿宋" w:hAnsi="仿宋" w:eastAsia="仿宋"/>
          <w:bCs/>
          <w:color w:val="auto"/>
          <w:sz w:val="24"/>
          <w:szCs w:val="24"/>
        </w:rPr>
        <w:t>建立不少于2种的医养结合模式与服务规范；建立1-2项医养结合机构的相关服务标准</w:t>
      </w:r>
      <w:r>
        <w:rPr>
          <w:rFonts w:hint="eastAsia" w:ascii="仿宋" w:hAnsi="仿宋" w:eastAsia="仿宋"/>
          <w:bCs/>
          <w:color w:val="auto"/>
          <w:sz w:val="24"/>
          <w:szCs w:val="24"/>
        </w:rPr>
        <w:t>与工作流程</w:t>
      </w:r>
      <w:r>
        <w:rPr>
          <w:rFonts w:ascii="仿宋" w:hAnsi="仿宋" w:eastAsia="仿宋"/>
          <w:bCs/>
          <w:color w:val="auto"/>
          <w:sz w:val="24"/>
          <w:szCs w:val="24"/>
        </w:rPr>
        <w:t>；制定2项医养结合机构工作质量评价体系</w:t>
      </w:r>
      <w:r>
        <w:rPr>
          <w:rFonts w:hint="eastAsia" w:ascii="仿宋" w:hAnsi="仿宋" w:eastAsia="仿宋"/>
          <w:bCs/>
          <w:color w:val="auto"/>
          <w:sz w:val="24"/>
          <w:szCs w:val="24"/>
        </w:rPr>
        <w:t>并示范应用</w:t>
      </w:r>
      <w:r>
        <w:rPr>
          <w:rFonts w:ascii="仿宋" w:hAnsi="仿宋" w:eastAsia="仿宋"/>
          <w:bCs/>
          <w:color w:val="auto"/>
          <w:sz w:val="24"/>
          <w:szCs w:val="24"/>
        </w:rPr>
        <w:t>；建立社区虚拟医养结合平台；建立1个医养结合机构</w:t>
      </w:r>
      <w:r>
        <w:rPr>
          <w:rFonts w:hint="eastAsia" w:ascii="仿宋" w:hAnsi="仿宋" w:eastAsia="仿宋"/>
          <w:bCs/>
          <w:color w:val="auto"/>
          <w:sz w:val="24"/>
          <w:szCs w:val="24"/>
        </w:rPr>
        <w:t>内老年与全科相关专业</w:t>
      </w:r>
      <w:r>
        <w:rPr>
          <w:rFonts w:ascii="仿宋" w:hAnsi="仿宋" w:eastAsia="仿宋"/>
          <w:bCs/>
          <w:color w:val="auto"/>
          <w:sz w:val="24"/>
          <w:szCs w:val="24"/>
        </w:rPr>
        <w:t>培训系统；建立2个网络培训平台</w:t>
      </w:r>
      <w:bookmarkStart w:id="2" w:name="_Hlk498376302"/>
      <w:r>
        <w:rPr>
          <w:rFonts w:ascii="仿宋" w:hAnsi="仿宋" w:eastAsia="仿宋"/>
          <w:bCs/>
          <w:color w:val="auto"/>
          <w:sz w:val="24"/>
          <w:szCs w:val="24"/>
        </w:rPr>
        <w:t>和系统电教培训教程</w:t>
      </w:r>
      <w:bookmarkEnd w:id="2"/>
      <w:r>
        <w:rPr>
          <w:rFonts w:ascii="仿宋" w:hAnsi="仿宋" w:eastAsia="仿宋"/>
          <w:bCs/>
          <w:color w:val="auto"/>
          <w:sz w:val="24"/>
          <w:szCs w:val="24"/>
        </w:rPr>
        <w:t>。建立老年人的生活及健康状况电子监测系统，健康风险报警系统；研发不少于3种助老养老专科流动技术及设备</w:t>
      </w:r>
      <w:r>
        <w:rPr>
          <w:rFonts w:hint="eastAsia" w:ascii="仿宋" w:hAnsi="仿宋" w:eastAsia="仿宋"/>
          <w:bCs/>
          <w:color w:val="auto"/>
          <w:sz w:val="24"/>
          <w:szCs w:val="24"/>
        </w:rPr>
        <w:t>，研发1</w:t>
      </w:r>
      <w:r>
        <w:rPr>
          <w:rFonts w:ascii="仿宋" w:hAnsi="仿宋" w:eastAsia="仿宋"/>
          <w:bCs/>
          <w:color w:val="auto"/>
          <w:sz w:val="24"/>
          <w:szCs w:val="24"/>
        </w:rPr>
        <w:t>-2</w:t>
      </w:r>
      <w:r>
        <w:rPr>
          <w:rFonts w:hint="eastAsia" w:ascii="仿宋" w:hAnsi="仿宋" w:eastAsia="仿宋"/>
          <w:bCs/>
          <w:color w:val="auto"/>
          <w:sz w:val="24"/>
          <w:szCs w:val="24"/>
        </w:rPr>
        <w:t>种流动共享小型</w:t>
      </w:r>
      <w:r>
        <w:rPr>
          <w:rFonts w:ascii="仿宋" w:hAnsi="仿宋" w:eastAsia="仿宋"/>
          <w:bCs/>
          <w:color w:val="auto"/>
          <w:sz w:val="24"/>
          <w:szCs w:val="24"/>
        </w:rPr>
        <w:t>助</w:t>
      </w:r>
      <w:r>
        <w:rPr>
          <w:rFonts w:hint="eastAsia" w:ascii="仿宋" w:hAnsi="仿宋" w:eastAsia="仿宋"/>
          <w:bCs/>
          <w:color w:val="auto"/>
          <w:sz w:val="24"/>
          <w:szCs w:val="24"/>
        </w:rPr>
        <w:t>老服务</w:t>
      </w:r>
      <w:r>
        <w:rPr>
          <w:rFonts w:ascii="仿宋" w:hAnsi="仿宋" w:eastAsia="仿宋"/>
          <w:bCs/>
          <w:color w:val="auto"/>
          <w:sz w:val="24"/>
          <w:szCs w:val="24"/>
        </w:rPr>
        <w:t>设备</w:t>
      </w:r>
      <w:r>
        <w:rPr>
          <w:rFonts w:hint="eastAsia" w:ascii="仿宋" w:hAnsi="仿宋" w:eastAsia="仿宋"/>
          <w:bCs/>
          <w:color w:val="auto"/>
          <w:sz w:val="24"/>
          <w:szCs w:val="24"/>
        </w:rPr>
        <w:t>；形成标准的临终关怀</w:t>
      </w:r>
      <w:r>
        <w:rPr>
          <w:rFonts w:ascii="仿宋" w:hAnsi="仿宋" w:eastAsia="仿宋"/>
          <w:bCs/>
          <w:color w:val="auto"/>
          <w:sz w:val="24"/>
          <w:szCs w:val="24"/>
        </w:rPr>
        <w:t>服务，</w:t>
      </w:r>
      <w:r>
        <w:rPr>
          <w:rFonts w:hint="eastAsia" w:ascii="仿宋" w:hAnsi="仿宋" w:eastAsia="仿宋"/>
          <w:bCs/>
          <w:color w:val="auto"/>
          <w:sz w:val="24"/>
          <w:szCs w:val="24"/>
        </w:rPr>
        <w:t>建立</w:t>
      </w:r>
      <w:r>
        <w:rPr>
          <w:rFonts w:ascii="仿宋" w:hAnsi="仿宋" w:eastAsia="仿宋"/>
          <w:bCs/>
          <w:color w:val="auto"/>
          <w:sz w:val="24"/>
          <w:szCs w:val="24"/>
        </w:rPr>
        <w:t>智慧</w:t>
      </w:r>
      <w:r>
        <w:rPr>
          <w:rFonts w:hint="eastAsia" w:ascii="仿宋" w:hAnsi="仿宋" w:eastAsia="仿宋"/>
          <w:bCs/>
          <w:color w:val="auto"/>
          <w:sz w:val="24"/>
          <w:szCs w:val="24"/>
        </w:rPr>
        <w:t>健康</w:t>
      </w:r>
      <w:r>
        <w:rPr>
          <w:rFonts w:ascii="仿宋" w:hAnsi="仿宋" w:eastAsia="仿宋"/>
          <w:bCs/>
          <w:color w:val="auto"/>
          <w:sz w:val="24"/>
          <w:szCs w:val="24"/>
        </w:rPr>
        <w:t>养老</w:t>
      </w:r>
      <w:r>
        <w:rPr>
          <w:rFonts w:hint="eastAsia" w:ascii="仿宋" w:hAnsi="仿宋" w:eastAsia="仿宋"/>
          <w:bCs/>
          <w:color w:val="auto"/>
          <w:sz w:val="24"/>
          <w:szCs w:val="24"/>
        </w:rPr>
        <w:t>体系</w:t>
      </w:r>
      <w:r>
        <w:rPr>
          <w:rFonts w:ascii="仿宋" w:hAnsi="仿宋" w:eastAsia="仿宋"/>
          <w:bCs/>
          <w:color w:val="auto"/>
          <w:sz w:val="24"/>
          <w:szCs w:val="24"/>
        </w:rPr>
        <w:t>。</w:t>
      </w:r>
    </w:p>
    <w:p>
      <w:pPr>
        <w:adjustRightInd w:val="0"/>
        <w:snapToGrid w:val="0"/>
        <w:spacing w:before="156" w:beforeLines="50" w:after="156" w:afterLines="50" w:line="360" w:lineRule="auto"/>
        <w:ind w:firstLine="482" w:firstLineChars="200"/>
        <w:rPr>
          <w:rFonts w:ascii="仿宋" w:hAnsi="仿宋" w:eastAsia="仿宋"/>
          <w:color w:val="auto"/>
          <w:sz w:val="24"/>
          <w:szCs w:val="24"/>
        </w:rPr>
      </w:pPr>
      <w:r>
        <w:rPr>
          <w:rFonts w:ascii="仿宋" w:hAnsi="仿宋" w:eastAsia="仿宋"/>
          <w:b/>
          <w:bCs/>
          <w:color w:val="auto"/>
          <w:sz w:val="24"/>
          <w:szCs w:val="24"/>
        </w:rPr>
        <w:t>支持年限：</w:t>
      </w:r>
      <w:r>
        <w:rPr>
          <w:rFonts w:ascii="仿宋" w:hAnsi="仿宋" w:eastAsia="仿宋"/>
          <w:color w:val="auto"/>
          <w:sz w:val="24"/>
          <w:szCs w:val="24"/>
        </w:rPr>
        <w:t>201</w:t>
      </w:r>
      <w:r>
        <w:rPr>
          <w:rFonts w:hint="eastAsia" w:ascii="仿宋" w:hAnsi="仿宋" w:eastAsia="仿宋"/>
          <w:color w:val="auto"/>
          <w:sz w:val="24"/>
          <w:szCs w:val="24"/>
        </w:rPr>
        <w:t>8</w:t>
      </w:r>
      <w:r>
        <w:rPr>
          <w:rFonts w:ascii="仿宋" w:hAnsi="仿宋" w:eastAsia="仿宋"/>
          <w:color w:val="auto"/>
          <w:sz w:val="24"/>
          <w:szCs w:val="24"/>
        </w:rPr>
        <w:t>-2022年。</w:t>
      </w:r>
    </w:p>
    <w:p>
      <w:pPr>
        <w:adjustRightInd w:val="0"/>
        <w:snapToGrid w:val="0"/>
        <w:spacing w:before="156" w:beforeLines="50" w:after="156" w:afterLines="50" w:line="360" w:lineRule="auto"/>
        <w:ind w:firstLine="482" w:firstLineChars="200"/>
        <w:rPr>
          <w:rFonts w:ascii="仿宋" w:hAnsi="仿宋" w:eastAsia="仿宋"/>
          <w:color w:val="auto"/>
          <w:sz w:val="24"/>
          <w:szCs w:val="24"/>
        </w:rPr>
      </w:pPr>
      <w:r>
        <w:rPr>
          <w:rFonts w:ascii="仿宋" w:hAnsi="仿宋" w:eastAsia="仿宋"/>
          <w:b/>
          <w:bCs/>
          <w:color w:val="auto"/>
          <w:sz w:val="24"/>
          <w:szCs w:val="24"/>
        </w:rPr>
        <w:t>拟支持项目数：</w:t>
      </w:r>
      <w:r>
        <w:rPr>
          <w:rFonts w:ascii="仿宋" w:hAnsi="仿宋" w:eastAsia="仿宋"/>
          <w:color w:val="auto"/>
          <w:sz w:val="24"/>
          <w:szCs w:val="24"/>
        </w:rPr>
        <w:t>1-2项。</w:t>
      </w:r>
    </w:p>
    <w:p>
      <w:pPr>
        <w:pStyle w:val="17"/>
        <w:snapToGrid w:val="0"/>
        <w:spacing w:before="156" w:beforeLines="50" w:after="156" w:afterLines="50" w:line="360" w:lineRule="auto"/>
        <w:ind w:firstLine="482" w:firstLineChars="200"/>
        <w:jc w:val="both"/>
        <w:rPr>
          <w:rFonts w:ascii="仿宋" w:hAnsi="仿宋" w:eastAsia="仿宋"/>
          <w:bCs/>
          <w:color w:val="auto"/>
        </w:rPr>
      </w:pPr>
      <w:r>
        <w:rPr>
          <w:rFonts w:hint="eastAsia" w:ascii="仿宋" w:hAnsi="仿宋" w:eastAsia="仿宋" w:cs="仿宋_GB2312"/>
          <w:b/>
        </w:rPr>
        <w:t>有关说明</w:t>
      </w:r>
      <w:r>
        <w:rPr>
          <w:rFonts w:ascii="仿宋" w:hAnsi="仿宋" w:eastAsia="仿宋" w:cs="仿宋_GB2312"/>
          <w:b/>
        </w:rPr>
        <w:t>：</w:t>
      </w:r>
      <w:r>
        <w:rPr>
          <w:rFonts w:hint="eastAsia" w:ascii="仿宋" w:hAnsi="仿宋" w:eastAsia="仿宋"/>
          <w:bCs/>
          <w:color w:val="auto"/>
        </w:rPr>
        <w:t>由建有国家临床医学研究中心的医疗机构牵头申报</w:t>
      </w:r>
      <w:r>
        <w:rPr>
          <w:rFonts w:hint="eastAsia" w:ascii="仿宋" w:hAnsi="仿宋" w:eastAsia="仿宋" w:cs="Calibri"/>
        </w:rPr>
        <w:t>，</w:t>
      </w:r>
      <w:r>
        <w:rPr>
          <w:rFonts w:hint="eastAsia" w:ascii="仿宋" w:hAnsi="仿宋" w:eastAsia="仿宋"/>
          <w:bCs/>
          <w:color w:val="auto"/>
          <w:kern w:val="2"/>
        </w:rPr>
        <w:t>要求企业参与，</w:t>
      </w:r>
      <w:r>
        <w:rPr>
          <w:rFonts w:hint="eastAsia" w:ascii="仿宋" w:hAnsi="仿宋" w:eastAsia="仿宋" w:cs="仿宋_GB2312"/>
        </w:rPr>
        <w:t>其他经费（包括地方财政经费、单位出资及社会渠道资金等）与中央财政经费比例不低于3</w:t>
      </w:r>
      <w:r>
        <w:rPr>
          <w:rFonts w:ascii="仿宋" w:hAnsi="仿宋" w:eastAsia="仿宋" w:cs="仿宋_GB2312"/>
        </w:rPr>
        <w:t>:1</w:t>
      </w:r>
      <w:r>
        <w:rPr>
          <w:rFonts w:hint="eastAsia" w:ascii="仿宋" w:hAnsi="仿宋" w:eastAsia="仿宋" w:cs="仿宋_GB2312"/>
        </w:rPr>
        <w:t>。</w:t>
      </w:r>
    </w:p>
    <w:p>
      <w:pPr>
        <w:widowControl/>
        <w:shd w:val="clear" w:color="auto" w:fill="FFFFFF"/>
        <w:adjustRightInd w:val="0"/>
        <w:snapToGrid w:val="0"/>
        <w:spacing w:before="156" w:beforeLines="50" w:after="156" w:afterLines="50" w:line="360" w:lineRule="auto"/>
        <w:rPr>
          <w:rFonts w:ascii="仿宋" w:hAnsi="仿宋" w:eastAsia="仿宋"/>
          <w:color w:val="auto"/>
          <w:kern w:val="0"/>
          <w:sz w:val="24"/>
          <w:szCs w:val="24"/>
        </w:rPr>
      </w:pPr>
    </w:p>
    <w:p>
      <w:pPr>
        <w:pStyle w:val="4"/>
        <w:adjustRightInd w:val="0"/>
        <w:snapToGrid w:val="0"/>
        <w:spacing w:before="156" w:beforeLines="50" w:after="156" w:afterLines="50" w:line="360" w:lineRule="auto"/>
        <w:rPr>
          <w:rFonts w:ascii="仿宋" w:hAnsi="仿宋" w:eastAsia="仿宋"/>
          <w:sz w:val="24"/>
          <w:szCs w:val="24"/>
        </w:rPr>
      </w:pPr>
      <w:r>
        <w:rPr>
          <w:rFonts w:ascii="仿宋" w:hAnsi="仿宋" w:eastAsia="仿宋"/>
          <w:sz w:val="24"/>
          <w:szCs w:val="24"/>
        </w:rPr>
        <w:t>3.2.</w:t>
      </w:r>
      <w:r>
        <w:rPr>
          <w:rFonts w:hint="eastAsia" w:ascii="仿宋" w:hAnsi="仿宋" w:eastAsia="仿宋"/>
          <w:sz w:val="24"/>
          <w:szCs w:val="24"/>
        </w:rPr>
        <w:t>5</w:t>
      </w:r>
      <w:r>
        <w:rPr>
          <w:rFonts w:ascii="仿宋" w:hAnsi="仿宋" w:eastAsia="仿宋"/>
          <w:color w:val="auto"/>
          <w:sz w:val="24"/>
          <w:szCs w:val="24"/>
        </w:rPr>
        <w:t>老年人中医药健康服务</w:t>
      </w:r>
      <w:r>
        <w:rPr>
          <w:rFonts w:hint="eastAsia" w:ascii="仿宋" w:hAnsi="仿宋" w:eastAsia="仿宋"/>
          <w:color w:val="auto"/>
          <w:sz w:val="24"/>
          <w:szCs w:val="24"/>
        </w:rPr>
        <w:t>产品与服务包</w:t>
      </w:r>
      <w:r>
        <w:rPr>
          <w:rFonts w:ascii="仿宋" w:hAnsi="仿宋" w:eastAsia="仿宋"/>
          <w:color w:val="auto"/>
          <w:sz w:val="24"/>
          <w:szCs w:val="24"/>
        </w:rPr>
        <w:t>研究</w:t>
      </w:r>
    </w:p>
    <w:p>
      <w:pPr>
        <w:adjustRightInd w:val="0"/>
        <w:snapToGrid w:val="0"/>
        <w:spacing w:before="156" w:beforeLines="50" w:after="156" w:afterLines="50" w:line="360" w:lineRule="auto"/>
        <w:ind w:firstLine="482" w:firstLineChars="200"/>
        <w:rPr>
          <w:rFonts w:ascii="仿宋" w:hAnsi="仿宋" w:eastAsia="仿宋" w:cs="宋体"/>
          <w:kern w:val="0"/>
          <w:sz w:val="24"/>
          <w:szCs w:val="24"/>
        </w:rPr>
      </w:pPr>
      <w:r>
        <w:rPr>
          <w:rFonts w:hint="eastAsia" w:ascii="仿宋" w:hAnsi="仿宋" w:eastAsia="仿宋" w:cs="宋体"/>
          <w:b/>
          <w:bCs/>
          <w:kern w:val="0"/>
          <w:sz w:val="24"/>
          <w:szCs w:val="24"/>
        </w:rPr>
        <w:t>研究内容:</w:t>
      </w:r>
      <w:r>
        <w:rPr>
          <w:rFonts w:hint="eastAsia" w:ascii="仿宋" w:hAnsi="仿宋" w:eastAsia="仿宋"/>
          <w:color w:val="auto"/>
          <w:sz w:val="24"/>
          <w:szCs w:val="24"/>
        </w:rPr>
        <w:t>针对老年人群健康特点，研究基于移动网络的中医便携式、可穿戴式中医四诊信息采集设备的关键技术，开发适合基层医疗单位、家庭或个人便捷使用</w:t>
      </w:r>
      <w:r>
        <w:rPr>
          <w:rFonts w:hint="eastAsia" w:ascii="仿宋" w:hAnsi="仿宋" w:eastAsia="仿宋" w:cs="宋体"/>
          <w:kern w:val="0"/>
          <w:sz w:val="24"/>
          <w:szCs w:val="24"/>
        </w:rPr>
        <w:t>的中医信息采集设备</w:t>
      </w:r>
      <w:r>
        <w:rPr>
          <w:rFonts w:hint="eastAsia" w:ascii="仿宋" w:hAnsi="仿宋" w:eastAsia="仿宋"/>
          <w:color w:val="auto"/>
          <w:sz w:val="24"/>
          <w:szCs w:val="24"/>
        </w:rPr>
        <w:t>；同时根据老年人的疾病特点，针对有前景的已上市品种，升级</w:t>
      </w:r>
      <w:r>
        <w:rPr>
          <w:rFonts w:hint="eastAsia" w:ascii="仿宋" w:hAnsi="仿宋" w:eastAsia="仿宋" w:cs="宋体"/>
          <w:kern w:val="0"/>
          <w:sz w:val="24"/>
          <w:szCs w:val="24"/>
        </w:rPr>
        <w:t>开发适合老年人的中药或保健品大品种；</w:t>
      </w:r>
      <w:r>
        <w:rPr>
          <w:rFonts w:ascii="仿宋" w:hAnsi="仿宋" w:eastAsia="仿宋"/>
          <w:color w:val="auto"/>
          <w:sz w:val="24"/>
          <w:szCs w:val="24"/>
        </w:rPr>
        <w:t>根据我国医疗体制改革的现状</w:t>
      </w:r>
      <w:r>
        <w:rPr>
          <w:rFonts w:hint="eastAsia" w:ascii="仿宋" w:hAnsi="仿宋" w:eastAsia="仿宋"/>
          <w:color w:val="auto"/>
          <w:sz w:val="24"/>
          <w:szCs w:val="24"/>
        </w:rPr>
        <w:t>和</w:t>
      </w:r>
      <w:r>
        <w:rPr>
          <w:rFonts w:ascii="仿宋" w:hAnsi="仿宋" w:eastAsia="仿宋"/>
          <w:color w:val="auto"/>
          <w:sz w:val="24"/>
          <w:szCs w:val="24"/>
        </w:rPr>
        <w:t>老年人群的生活特征，研发中医预防保健（治未病）服务包，同时完成服务包服务技术效果和经济、社会效益评价，建立应用示范样板。</w:t>
      </w:r>
      <w:r>
        <w:rPr>
          <w:rFonts w:hint="eastAsia" w:ascii="仿宋" w:hAnsi="仿宋" w:eastAsia="仿宋"/>
          <w:sz w:val="24"/>
          <w:szCs w:val="24"/>
        </w:rPr>
        <w:t>选择中医临床有优势的老年病（骨关节退行性病变、老年痴呆、慢性阻塞性肺疾病等），通过队列追踪研究以及相关疾病人群分析，研发早期识别指标与技术和中医预防措施与方案。</w:t>
      </w:r>
    </w:p>
    <w:p>
      <w:pPr>
        <w:adjustRightInd w:val="0"/>
        <w:snapToGrid w:val="0"/>
        <w:spacing w:before="156" w:beforeLines="50" w:after="156" w:afterLines="50" w:line="360" w:lineRule="auto"/>
        <w:ind w:firstLine="482" w:firstLineChars="200"/>
        <w:rPr>
          <w:rFonts w:ascii="仿宋" w:hAnsi="仿宋" w:eastAsia="仿宋"/>
          <w:color w:val="auto"/>
          <w:sz w:val="24"/>
          <w:szCs w:val="24"/>
        </w:rPr>
      </w:pPr>
      <w:r>
        <w:rPr>
          <w:rFonts w:hint="eastAsia" w:ascii="仿宋" w:hAnsi="仿宋" w:eastAsia="仿宋" w:cs="宋体"/>
          <w:b/>
          <w:bCs/>
          <w:kern w:val="0"/>
          <w:sz w:val="24"/>
          <w:szCs w:val="24"/>
        </w:rPr>
        <w:t>考核指标：</w:t>
      </w:r>
      <w:r>
        <w:rPr>
          <w:rFonts w:hint="eastAsia" w:ascii="仿宋" w:hAnsi="仿宋" w:eastAsia="仿宋"/>
          <w:color w:val="auto"/>
          <w:sz w:val="24"/>
          <w:szCs w:val="24"/>
        </w:rPr>
        <w:t>研发3种基于移动网络的便携、可穿戴式老年人的中医信息采集设备；升级开发适用于老年人的3个中药或保健品大品种(年销售额&gt;5亿元)；研发适宜老年人的3种中医诊疗与健康辨识设备新产品；</w:t>
      </w:r>
      <w:r>
        <w:rPr>
          <w:rFonts w:ascii="仿宋" w:hAnsi="仿宋" w:eastAsia="仿宋"/>
          <w:color w:val="auto"/>
          <w:sz w:val="24"/>
          <w:szCs w:val="24"/>
        </w:rPr>
        <w:t>完成老年人群中医预防保健（治未病）的6个服务包的设计制定</w:t>
      </w:r>
      <w:r>
        <w:rPr>
          <w:rFonts w:hint="eastAsia" w:ascii="仿宋" w:hAnsi="仿宋" w:eastAsia="仿宋"/>
          <w:color w:val="auto"/>
          <w:sz w:val="24"/>
          <w:szCs w:val="24"/>
        </w:rPr>
        <w:t>、评价及其</w:t>
      </w:r>
      <w:r>
        <w:rPr>
          <w:rFonts w:ascii="仿宋" w:hAnsi="仿宋" w:eastAsia="仿宋"/>
          <w:color w:val="auto"/>
          <w:sz w:val="24"/>
          <w:szCs w:val="24"/>
        </w:rPr>
        <w:t>应用示范样板。</w:t>
      </w:r>
      <w:r>
        <w:rPr>
          <w:rFonts w:hint="eastAsia" w:ascii="仿宋" w:hAnsi="仿宋" w:eastAsia="仿宋"/>
          <w:color w:val="auto"/>
          <w:sz w:val="24"/>
          <w:szCs w:val="24"/>
        </w:rPr>
        <w:t>建立4</w:t>
      </w:r>
      <m:oMath>
        <m:r>
          <m:rPr>
            <m:sty m:val="p"/>
          </m:rPr>
          <w:rPr>
            <w:rFonts w:ascii="Cambria Math" w:hAnsi="Cambria Math" w:eastAsia="仿宋"/>
            <w:color w:val="auto"/>
            <w:sz w:val="24"/>
            <w:szCs w:val="24"/>
          </w:rPr>
          <m:t>~</m:t>
        </m:r>
      </m:oMath>
      <w:r>
        <w:rPr>
          <w:rFonts w:hint="eastAsia" w:ascii="仿宋" w:hAnsi="仿宋" w:eastAsia="仿宋"/>
          <w:color w:val="auto"/>
          <w:sz w:val="24"/>
          <w:szCs w:val="24"/>
        </w:rPr>
        <w:t>5种老年病（骨关节退行性病变、老年痴呆、慢性阻塞性肺疾病等）中医早期干预方案。</w:t>
      </w:r>
    </w:p>
    <w:p>
      <w:pPr>
        <w:widowControl/>
        <w:shd w:val="clear" w:color="auto" w:fill="FFFFFF"/>
        <w:adjustRightInd w:val="0"/>
        <w:snapToGrid w:val="0"/>
        <w:spacing w:before="156" w:beforeLines="50" w:after="156" w:afterLines="50" w:line="360" w:lineRule="auto"/>
        <w:ind w:firstLine="640"/>
        <w:rPr>
          <w:rFonts w:ascii="仿宋" w:hAnsi="仿宋" w:eastAsia="仿宋" w:cs="宋体"/>
          <w:kern w:val="0"/>
          <w:sz w:val="24"/>
          <w:szCs w:val="24"/>
        </w:rPr>
      </w:pPr>
      <w:r>
        <w:rPr>
          <w:rFonts w:hint="eastAsia" w:ascii="仿宋" w:hAnsi="仿宋" w:eastAsia="仿宋" w:cs="宋体"/>
          <w:b/>
          <w:bCs/>
          <w:kern w:val="0"/>
          <w:sz w:val="24"/>
          <w:szCs w:val="24"/>
        </w:rPr>
        <w:t>支持年限：</w:t>
      </w:r>
      <w:r>
        <w:rPr>
          <w:rFonts w:hint="eastAsia" w:ascii="仿宋" w:hAnsi="仿宋" w:eastAsia="仿宋" w:cs="宋体"/>
          <w:kern w:val="0"/>
          <w:sz w:val="24"/>
          <w:szCs w:val="24"/>
        </w:rPr>
        <w:t>2018-2022年。</w:t>
      </w:r>
    </w:p>
    <w:p>
      <w:pPr>
        <w:widowControl/>
        <w:shd w:val="clear" w:color="auto" w:fill="FFFFFF"/>
        <w:adjustRightInd w:val="0"/>
        <w:snapToGrid w:val="0"/>
        <w:spacing w:before="156" w:beforeLines="50" w:after="156" w:afterLines="50" w:line="360" w:lineRule="auto"/>
        <w:ind w:firstLine="640"/>
        <w:rPr>
          <w:rFonts w:ascii="仿宋" w:hAnsi="仿宋" w:eastAsia="仿宋" w:cs="宋体"/>
          <w:kern w:val="0"/>
          <w:sz w:val="24"/>
          <w:szCs w:val="24"/>
        </w:rPr>
      </w:pPr>
      <w:r>
        <w:rPr>
          <w:rFonts w:hint="eastAsia" w:ascii="仿宋" w:hAnsi="仿宋" w:eastAsia="仿宋" w:cs="宋体"/>
          <w:b/>
          <w:bCs/>
          <w:kern w:val="0"/>
          <w:sz w:val="24"/>
          <w:szCs w:val="24"/>
        </w:rPr>
        <w:t>拟支持项目数：</w:t>
      </w:r>
      <w:r>
        <w:rPr>
          <w:rFonts w:hint="eastAsia" w:ascii="仿宋" w:hAnsi="仿宋" w:eastAsia="仿宋" w:cs="宋体"/>
          <w:kern w:val="0"/>
          <w:sz w:val="24"/>
          <w:szCs w:val="24"/>
        </w:rPr>
        <w:t xml:space="preserve"> 不超过3项。</w:t>
      </w:r>
    </w:p>
    <w:p>
      <w:pPr>
        <w:adjustRightInd w:val="0"/>
        <w:snapToGrid w:val="0"/>
        <w:spacing w:before="156" w:beforeLines="50" w:after="156" w:afterLines="50" w:line="360" w:lineRule="auto"/>
        <w:ind w:firstLine="472" w:firstLineChars="196"/>
        <w:rPr>
          <w:rFonts w:ascii="仿宋" w:hAnsi="仿宋" w:eastAsia="仿宋"/>
          <w:color w:val="auto"/>
          <w:sz w:val="24"/>
          <w:szCs w:val="24"/>
        </w:rPr>
      </w:pPr>
      <w:r>
        <w:rPr>
          <w:rFonts w:hint="eastAsia" w:ascii="仿宋" w:hAnsi="仿宋" w:eastAsia="仿宋" w:cs="仿宋_GB2312"/>
          <w:b/>
          <w:sz w:val="24"/>
          <w:szCs w:val="24"/>
        </w:rPr>
        <w:t>有关说明</w:t>
      </w:r>
      <w:r>
        <w:rPr>
          <w:rFonts w:ascii="仿宋" w:hAnsi="仿宋" w:eastAsia="仿宋" w:cs="仿宋_GB2312"/>
          <w:b/>
          <w:sz w:val="24"/>
          <w:szCs w:val="24"/>
        </w:rPr>
        <w:t>：</w:t>
      </w:r>
      <w:r>
        <w:rPr>
          <w:rFonts w:hint="eastAsia" w:ascii="仿宋" w:hAnsi="仿宋" w:eastAsia="仿宋"/>
          <w:color w:val="auto"/>
          <w:sz w:val="24"/>
          <w:szCs w:val="24"/>
        </w:rPr>
        <w:t>按研发适宜老年人的中医诊疗与健康辨识设备新产品，完成老年人群中医预防保健（治未病）的服务包的设计制定、评价及其应用示范，以及建立4</w:t>
      </w:r>
      <m:oMath>
        <m:r>
          <m:rPr>
            <m:sty m:val="p"/>
          </m:rPr>
          <w:rPr>
            <w:rFonts w:ascii="Cambria Math" w:hAnsi="Cambria Math" w:eastAsia="仿宋"/>
            <w:color w:val="auto"/>
            <w:sz w:val="24"/>
            <w:szCs w:val="24"/>
          </w:rPr>
          <m:t>~</m:t>
        </m:r>
      </m:oMath>
      <w:r>
        <w:rPr>
          <w:rFonts w:hint="eastAsia" w:ascii="仿宋" w:hAnsi="仿宋" w:eastAsia="仿宋"/>
          <w:color w:val="auto"/>
          <w:sz w:val="24"/>
          <w:szCs w:val="24"/>
        </w:rPr>
        <w:t>5种老年病中医早期干预方案3个方向分别申报。其中，研发适宜老年人的中医诊疗与健康辨识设备新产品方向要求企业参与，其他经费（包括地方财政经费、单位出资及社会渠道资金等）与中央财政经费比例不低于3:1。</w:t>
      </w:r>
    </w:p>
    <w:p>
      <w:pPr>
        <w:pStyle w:val="2"/>
        <w:adjustRightInd w:val="0"/>
        <w:snapToGrid w:val="0"/>
        <w:spacing w:before="156" w:beforeLines="50" w:after="156" w:afterLines="50" w:line="360" w:lineRule="auto"/>
        <w:rPr>
          <w:rFonts w:ascii="仿宋" w:hAnsi="仿宋" w:eastAsia="仿宋"/>
          <w:sz w:val="24"/>
          <w:szCs w:val="24"/>
        </w:rPr>
      </w:pPr>
      <w:r>
        <w:rPr>
          <w:rFonts w:hint="eastAsia" w:ascii="仿宋" w:hAnsi="仿宋" w:eastAsia="仿宋"/>
          <w:sz w:val="24"/>
          <w:szCs w:val="24"/>
        </w:rPr>
        <w:br w:type="page"/>
      </w:r>
    </w:p>
    <w:p>
      <w:pPr>
        <w:pStyle w:val="2"/>
        <w:adjustRightInd w:val="0"/>
        <w:snapToGrid w:val="0"/>
        <w:spacing w:before="156" w:beforeLines="50" w:after="156" w:afterLines="50" w:line="360" w:lineRule="auto"/>
        <w:rPr>
          <w:rFonts w:ascii="仿宋" w:hAnsi="仿宋" w:eastAsia="仿宋"/>
          <w:sz w:val="24"/>
          <w:szCs w:val="24"/>
        </w:rPr>
      </w:pPr>
      <w:r>
        <w:rPr>
          <w:rFonts w:hint="eastAsia" w:ascii="仿宋" w:hAnsi="仿宋" w:eastAsia="仿宋"/>
          <w:sz w:val="24"/>
          <w:szCs w:val="24"/>
        </w:rPr>
        <w:t>任务四：主动健康和老年服务科技示范与应用推广</w:t>
      </w:r>
    </w:p>
    <w:p>
      <w:pPr>
        <w:pStyle w:val="3"/>
        <w:adjustRightInd w:val="0"/>
        <w:snapToGrid w:val="0"/>
        <w:spacing w:before="156" w:beforeLines="50" w:after="156" w:afterLines="50" w:line="360" w:lineRule="auto"/>
        <w:rPr>
          <w:rFonts w:ascii="仿宋" w:hAnsi="仿宋" w:eastAsia="仿宋"/>
          <w:sz w:val="24"/>
          <w:szCs w:val="24"/>
        </w:rPr>
      </w:pPr>
      <w:r>
        <w:rPr>
          <w:rFonts w:hint="eastAsia" w:ascii="仿宋" w:hAnsi="仿宋" w:eastAsia="仿宋"/>
          <w:sz w:val="24"/>
          <w:szCs w:val="24"/>
        </w:rPr>
        <w:t>4.1老年失能和残疾人康复体系应用示范</w:t>
      </w:r>
    </w:p>
    <w:p>
      <w:pPr>
        <w:pStyle w:val="4"/>
        <w:adjustRightInd w:val="0"/>
        <w:snapToGrid w:val="0"/>
        <w:spacing w:before="156" w:beforeLines="50" w:after="156" w:afterLines="50" w:line="360" w:lineRule="auto"/>
        <w:rPr>
          <w:rFonts w:ascii="仿宋" w:hAnsi="仿宋" w:eastAsia="仿宋"/>
          <w:sz w:val="24"/>
          <w:szCs w:val="24"/>
        </w:rPr>
      </w:pPr>
      <w:r>
        <w:rPr>
          <w:rFonts w:ascii="仿宋" w:hAnsi="仿宋" w:eastAsia="仿宋"/>
          <w:sz w:val="24"/>
          <w:szCs w:val="24"/>
        </w:rPr>
        <w:t>4.</w:t>
      </w:r>
      <w:r>
        <w:rPr>
          <w:rFonts w:hint="eastAsia" w:ascii="仿宋" w:hAnsi="仿宋" w:eastAsia="仿宋"/>
          <w:sz w:val="24"/>
          <w:szCs w:val="24"/>
        </w:rPr>
        <w:t>1.1残疾人辅助器具评估与适配服务体系建设和示范应用</w:t>
      </w:r>
    </w:p>
    <w:p>
      <w:pPr>
        <w:adjustRightInd w:val="0"/>
        <w:snapToGrid w:val="0"/>
        <w:spacing w:line="360" w:lineRule="auto"/>
        <w:ind w:firstLine="420"/>
        <w:rPr>
          <w:rFonts w:ascii="仿宋" w:hAnsi="仿宋" w:eastAsia="仿宋"/>
          <w:sz w:val="24"/>
          <w:szCs w:val="24"/>
        </w:rPr>
      </w:pPr>
      <w:r>
        <w:rPr>
          <w:rFonts w:hint="eastAsia" w:ascii="仿宋" w:hAnsi="仿宋" w:eastAsia="仿宋"/>
          <w:b/>
          <w:bCs/>
          <w:sz w:val="24"/>
          <w:szCs w:val="24"/>
        </w:rPr>
        <w:t>研究与示范内容：</w:t>
      </w:r>
      <w:r>
        <w:rPr>
          <w:rFonts w:hint="eastAsia" w:ascii="仿宋" w:hAnsi="仿宋" w:eastAsia="仿宋"/>
          <w:sz w:val="24"/>
          <w:szCs w:val="24"/>
        </w:rPr>
        <w:t>针对不同的残疾人群体，重点开展残疾人辅助器具产品的应用示范。研究残疾人辅具评估与适配方法，包括远程功能障碍评估、辅具适配和康复训练等；研发辅助器具适配评估服务云平台；构建集评估、适配、训练于一体的残疾人辅助器具服务体系，并进行示范应用。</w:t>
      </w:r>
    </w:p>
    <w:p>
      <w:pPr>
        <w:adjustRightInd w:val="0"/>
        <w:snapToGrid w:val="0"/>
        <w:spacing w:line="360" w:lineRule="auto"/>
        <w:ind w:firstLine="420"/>
        <w:rPr>
          <w:rFonts w:ascii="仿宋" w:hAnsi="仿宋" w:eastAsia="仿宋"/>
          <w:sz w:val="24"/>
          <w:szCs w:val="24"/>
        </w:rPr>
      </w:pPr>
      <w:r>
        <w:rPr>
          <w:rFonts w:hint="eastAsia" w:ascii="仿宋" w:hAnsi="仿宋" w:eastAsia="仿宋"/>
          <w:b/>
          <w:bCs/>
          <w:sz w:val="24"/>
          <w:szCs w:val="24"/>
        </w:rPr>
        <w:t>考核指标：</w:t>
      </w:r>
      <w:r>
        <w:rPr>
          <w:rFonts w:hint="eastAsia" w:ascii="仿宋" w:hAnsi="仿宋" w:eastAsia="仿宋"/>
          <w:sz w:val="24"/>
          <w:szCs w:val="24"/>
        </w:rPr>
        <w:t>项目以国际功能分类（ICF）为框架，完成功能障碍、辅具适配和康复训练自我评估体系；完成辅助器具适配评估专家服务系统；建立残疾人辅具数据库；完成至少6类个性适配产品的跟踪和评价，并提交评价报告；在3个省、直辖市至少20个市县为至少5000个残疾人提供辅具适配服务。培养辅助器具至少200人。</w:t>
      </w:r>
    </w:p>
    <w:p>
      <w:pPr>
        <w:adjustRightInd w:val="0"/>
        <w:snapToGrid w:val="0"/>
        <w:spacing w:line="360" w:lineRule="auto"/>
        <w:ind w:firstLine="420"/>
        <w:rPr>
          <w:rFonts w:ascii="仿宋" w:hAnsi="仿宋" w:eastAsia="仿宋"/>
          <w:sz w:val="24"/>
          <w:szCs w:val="24"/>
        </w:rPr>
      </w:pPr>
      <w:r>
        <w:rPr>
          <w:rFonts w:hint="eastAsia" w:ascii="仿宋" w:hAnsi="仿宋" w:eastAsia="仿宋"/>
          <w:b/>
          <w:bCs/>
          <w:sz w:val="24"/>
          <w:szCs w:val="24"/>
        </w:rPr>
        <w:t>支持年限：</w:t>
      </w:r>
      <w:r>
        <w:rPr>
          <w:rFonts w:hint="eastAsia" w:ascii="仿宋" w:hAnsi="仿宋" w:eastAsia="仿宋"/>
          <w:sz w:val="24"/>
          <w:szCs w:val="24"/>
        </w:rPr>
        <w:t>2018年- 2022年。</w:t>
      </w:r>
    </w:p>
    <w:p>
      <w:pPr>
        <w:adjustRightInd w:val="0"/>
        <w:snapToGrid w:val="0"/>
        <w:spacing w:line="360" w:lineRule="auto"/>
        <w:ind w:firstLine="420"/>
        <w:rPr>
          <w:rFonts w:ascii="仿宋" w:hAnsi="仿宋" w:eastAsia="仿宋"/>
          <w:sz w:val="24"/>
          <w:szCs w:val="24"/>
        </w:rPr>
      </w:pPr>
      <w:r>
        <w:rPr>
          <w:rFonts w:hint="eastAsia" w:ascii="仿宋" w:hAnsi="仿宋" w:eastAsia="仿宋"/>
          <w:b/>
          <w:bCs/>
          <w:sz w:val="24"/>
          <w:szCs w:val="24"/>
        </w:rPr>
        <w:t>拟支持项目数：</w:t>
      </w:r>
      <w:r>
        <w:rPr>
          <w:rFonts w:hint="eastAsia" w:ascii="仿宋" w:hAnsi="仿宋" w:eastAsia="仿宋"/>
          <w:sz w:val="24"/>
          <w:szCs w:val="24"/>
        </w:rPr>
        <w:t>1-2项。</w:t>
      </w:r>
    </w:p>
    <w:p>
      <w:pPr>
        <w:adjustRightInd w:val="0"/>
        <w:snapToGrid w:val="0"/>
        <w:spacing w:line="360" w:lineRule="auto"/>
        <w:ind w:firstLine="420"/>
        <w:rPr>
          <w:rFonts w:ascii="仿宋" w:hAnsi="仿宋" w:eastAsia="仿宋"/>
          <w:sz w:val="24"/>
          <w:szCs w:val="24"/>
        </w:rPr>
      </w:pPr>
      <w:r>
        <w:rPr>
          <w:rFonts w:hint="eastAsia" w:ascii="仿宋" w:hAnsi="仿宋" w:eastAsia="仿宋"/>
          <w:b/>
          <w:bCs/>
          <w:sz w:val="24"/>
          <w:szCs w:val="24"/>
        </w:rPr>
        <w:t>有关说明：</w:t>
      </w:r>
      <w:r>
        <w:rPr>
          <w:rFonts w:hint="eastAsia" w:ascii="仿宋" w:hAnsi="仿宋" w:eastAsia="仿宋"/>
          <w:sz w:val="24"/>
          <w:szCs w:val="24"/>
        </w:rPr>
        <w:t>鼓励产、学、研、用联合申报。地方财政配套经费与国拨经费的比例不低于1：1，自筹经费与国拔经费的比例不低于2:1。</w:t>
      </w:r>
    </w:p>
    <w:p>
      <w:pPr>
        <w:adjustRightInd w:val="0"/>
        <w:snapToGrid w:val="0"/>
        <w:spacing w:line="360" w:lineRule="auto"/>
        <w:rPr>
          <w:rFonts w:ascii="仿宋" w:hAnsi="仿宋" w:eastAsia="仿宋"/>
          <w:sz w:val="24"/>
          <w:szCs w:val="24"/>
        </w:rPr>
      </w:pPr>
    </w:p>
    <w:p>
      <w:pPr>
        <w:widowControl/>
        <w:adjustRightInd w:val="0"/>
        <w:snapToGrid w:val="0"/>
        <w:spacing w:before="156" w:beforeLines="50" w:after="156" w:afterLines="50" w:line="360" w:lineRule="auto"/>
        <w:jc w:val="center"/>
        <w:rPr>
          <w:rFonts w:ascii="仿宋" w:hAnsi="仿宋" w:eastAsia="仿宋"/>
          <w:b/>
          <w:bCs/>
          <w:color w:val="auto"/>
          <w:kern w:val="0"/>
          <w:sz w:val="24"/>
          <w:szCs w:val="24"/>
        </w:rPr>
      </w:pPr>
    </w:p>
    <w:p>
      <w:pPr>
        <w:widowControl/>
        <w:adjustRightInd w:val="0"/>
        <w:snapToGrid w:val="0"/>
        <w:spacing w:before="156" w:beforeLines="50" w:after="156" w:afterLines="50" w:line="360" w:lineRule="auto"/>
        <w:jc w:val="center"/>
        <w:rPr>
          <w:rFonts w:ascii="仿宋" w:hAnsi="仿宋" w:eastAsia="仿宋"/>
          <w:b/>
          <w:bCs/>
          <w:color w:val="auto"/>
          <w:kern w:val="0"/>
          <w:sz w:val="24"/>
          <w:szCs w:val="24"/>
        </w:rPr>
      </w:pPr>
    </w:p>
    <w:p>
      <w:pPr>
        <w:widowControl/>
        <w:spacing w:after="0" w:line="240" w:lineRule="auto"/>
        <w:jc w:val="left"/>
        <w:rPr>
          <w:rFonts w:ascii="仿宋" w:hAnsi="仿宋" w:eastAsia="仿宋"/>
          <w:b/>
          <w:bCs/>
          <w:color w:val="auto"/>
          <w:kern w:val="0"/>
          <w:sz w:val="24"/>
          <w:szCs w:val="24"/>
        </w:rPr>
      </w:pPr>
      <w:r>
        <w:rPr>
          <w:rFonts w:ascii="仿宋" w:hAnsi="仿宋" w:eastAsia="仿宋"/>
          <w:b/>
          <w:bCs/>
          <w:color w:val="auto"/>
          <w:kern w:val="0"/>
          <w:sz w:val="24"/>
          <w:szCs w:val="24"/>
        </w:rPr>
        <w:br w:type="page"/>
      </w:r>
    </w:p>
    <w:p>
      <w:pPr>
        <w:widowControl/>
        <w:adjustRightInd w:val="0"/>
        <w:snapToGrid w:val="0"/>
        <w:spacing w:before="156" w:beforeLines="50" w:after="156" w:afterLines="50" w:line="360" w:lineRule="auto"/>
        <w:jc w:val="center"/>
        <w:rPr>
          <w:rFonts w:ascii="仿宋" w:hAnsi="仿宋" w:eastAsia="仿宋"/>
          <w:color w:val="auto"/>
          <w:kern w:val="0"/>
          <w:sz w:val="24"/>
          <w:szCs w:val="24"/>
        </w:rPr>
      </w:pPr>
      <w:r>
        <w:rPr>
          <w:rFonts w:ascii="仿宋" w:hAnsi="仿宋" w:eastAsia="仿宋"/>
          <w:b/>
          <w:bCs/>
          <w:color w:val="auto"/>
          <w:kern w:val="0"/>
          <w:sz w:val="24"/>
          <w:szCs w:val="24"/>
        </w:rPr>
        <w:t>申报要求</w:t>
      </w:r>
    </w:p>
    <w:p>
      <w:pPr>
        <w:widowControl/>
        <w:shd w:val="clear" w:color="auto" w:fill="FFFFFF"/>
        <w:adjustRightInd w:val="0"/>
        <w:snapToGrid w:val="0"/>
        <w:spacing w:before="156" w:beforeLines="50" w:after="156" w:afterLines="50" w:line="360" w:lineRule="auto"/>
        <w:ind w:firstLine="468" w:firstLineChars="195"/>
        <w:rPr>
          <w:rFonts w:ascii="仿宋" w:hAnsi="仿宋" w:eastAsia="仿宋"/>
          <w:color w:val="auto"/>
          <w:kern w:val="0"/>
          <w:sz w:val="24"/>
          <w:szCs w:val="24"/>
        </w:rPr>
      </w:pPr>
      <w:r>
        <w:rPr>
          <w:rFonts w:ascii="仿宋" w:hAnsi="仿宋" w:eastAsia="仿宋"/>
          <w:color w:val="auto"/>
          <w:kern w:val="0"/>
          <w:sz w:val="24"/>
          <w:szCs w:val="24"/>
        </w:rPr>
        <w:t>1. 本专项除有特殊要求外，所有项目均应整体申报，须覆盖全部考核指标。除有特殊要求，每个项目下设课题不超过5个，每个项目所含单位数不超过20家</w:t>
      </w:r>
      <w:r>
        <w:rPr>
          <w:rFonts w:hint="eastAsia" w:ascii="仿宋" w:hAnsi="仿宋" w:eastAsia="仿宋"/>
          <w:color w:val="auto"/>
          <w:kern w:val="0"/>
          <w:sz w:val="24"/>
          <w:szCs w:val="24"/>
        </w:rPr>
        <w:t>，其中</w:t>
      </w:r>
      <w:r>
        <w:rPr>
          <w:rFonts w:hint="eastAsia" w:ascii="仿宋" w:hAnsi="仿宋" w:eastAsia="仿宋" w:cs="仿宋_GB2312"/>
          <w:sz w:val="24"/>
          <w:szCs w:val="24"/>
        </w:rPr>
        <w:t>任务二主动健康关键技术和产品研发每个项目</w:t>
      </w:r>
      <w:r>
        <w:rPr>
          <w:rFonts w:ascii="仿宋" w:hAnsi="仿宋" w:eastAsia="仿宋"/>
          <w:color w:val="auto"/>
          <w:kern w:val="0"/>
          <w:sz w:val="24"/>
          <w:szCs w:val="24"/>
        </w:rPr>
        <w:t>所含单位数不超过</w:t>
      </w:r>
      <w:r>
        <w:rPr>
          <w:rFonts w:hint="eastAsia" w:ascii="仿宋" w:hAnsi="仿宋" w:eastAsia="仿宋"/>
          <w:color w:val="auto"/>
          <w:kern w:val="0"/>
          <w:sz w:val="24"/>
          <w:szCs w:val="24"/>
        </w:rPr>
        <w:t>15</w:t>
      </w:r>
      <w:r>
        <w:rPr>
          <w:rFonts w:ascii="仿宋" w:hAnsi="仿宋" w:eastAsia="仿宋"/>
          <w:color w:val="auto"/>
          <w:kern w:val="0"/>
          <w:sz w:val="24"/>
          <w:szCs w:val="24"/>
        </w:rPr>
        <w:t>家</w:t>
      </w:r>
      <w:r>
        <w:rPr>
          <w:rFonts w:hint="eastAsia" w:ascii="仿宋" w:hAnsi="仿宋" w:eastAsia="仿宋"/>
          <w:color w:val="auto"/>
          <w:kern w:val="0"/>
          <w:sz w:val="24"/>
          <w:szCs w:val="24"/>
        </w:rPr>
        <w:t>。</w:t>
      </w:r>
    </w:p>
    <w:p>
      <w:pPr>
        <w:widowControl/>
        <w:shd w:val="clear" w:color="auto" w:fill="FFFFFF"/>
        <w:adjustRightInd w:val="0"/>
        <w:snapToGrid w:val="0"/>
        <w:spacing w:before="156" w:beforeLines="50" w:after="156" w:afterLines="50" w:line="360" w:lineRule="auto"/>
        <w:ind w:firstLine="468" w:firstLineChars="195"/>
        <w:rPr>
          <w:rFonts w:ascii="仿宋" w:hAnsi="仿宋" w:eastAsia="仿宋"/>
          <w:color w:val="auto"/>
          <w:kern w:val="0"/>
          <w:sz w:val="24"/>
          <w:szCs w:val="24"/>
        </w:rPr>
      </w:pPr>
      <w:r>
        <w:rPr>
          <w:rFonts w:hint="eastAsia" w:ascii="仿宋" w:hAnsi="仿宋" w:eastAsia="仿宋"/>
          <w:color w:val="auto"/>
          <w:kern w:val="0"/>
          <w:sz w:val="24"/>
          <w:szCs w:val="24"/>
        </w:rPr>
        <w:t>2</w:t>
      </w:r>
      <w:r>
        <w:rPr>
          <w:rFonts w:ascii="仿宋" w:hAnsi="仿宋" w:eastAsia="仿宋"/>
          <w:color w:val="auto"/>
          <w:kern w:val="0"/>
          <w:sz w:val="24"/>
          <w:szCs w:val="24"/>
        </w:rPr>
        <w:t>.申报单位和个人必须签署具有法律约束力的协议，承诺各领域项目产生的所有科学数据无条件、按期递交到科技部指定的平台，在本专项约定的条件下对专项各个承担单位，乃至今后面向所有的科技工作者和公众开放共享。如不签署数据递交协议，则不具备承担本重大专项项目的资格，签署数据递交协议后而不在商定的期限内履行数据递交责任的，则由专项管理部门责令整改，拒绝整改者，则由专项管理部门追回项目资金，并予以通报。</w:t>
      </w:r>
    </w:p>
    <w:p>
      <w:pPr>
        <w:widowControl/>
        <w:shd w:val="clear" w:color="auto" w:fill="FFFFFF"/>
        <w:adjustRightInd w:val="0"/>
        <w:snapToGrid w:val="0"/>
        <w:spacing w:before="156" w:beforeLines="50" w:after="156" w:afterLines="50" w:line="360" w:lineRule="auto"/>
        <w:ind w:firstLine="468" w:firstLineChars="195"/>
        <w:rPr>
          <w:rFonts w:ascii="仿宋" w:hAnsi="仿宋" w:eastAsia="仿宋"/>
          <w:color w:val="auto"/>
          <w:kern w:val="0"/>
          <w:sz w:val="24"/>
          <w:szCs w:val="24"/>
        </w:rPr>
      </w:pPr>
      <w:r>
        <w:rPr>
          <w:rFonts w:hint="eastAsia" w:ascii="仿宋" w:hAnsi="仿宋" w:eastAsia="仿宋"/>
          <w:color w:val="auto"/>
          <w:kern w:val="0"/>
          <w:sz w:val="24"/>
          <w:szCs w:val="24"/>
        </w:rPr>
        <w:t>3.</w:t>
      </w:r>
      <w:r>
        <w:rPr>
          <w:rFonts w:ascii="仿宋" w:hAnsi="仿宋" w:eastAsia="仿宋"/>
          <w:color w:val="auto"/>
          <w:kern w:val="0"/>
          <w:sz w:val="24"/>
          <w:szCs w:val="24"/>
        </w:rPr>
        <w:t>本专项研究涉及人体研究需按照规定通过伦理审查并签署知情同意书。</w:t>
      </w:r>
      <w:r>
        <w:rPr>
          <w:rFonts w:hint="eastAsia" w:ascii="仿宋" w:hAnsi="仿宋" w:eastAsia="仿宋"/>
          <w:color w:val="auto"/>
          <w:kern w:val="0"/>
          <w:sz w:val="24"/>
          <w:szCs w:val="24"/>
        </w:rPr>
        <w:t>本专项研究涉及人类遗传资源采集、收集、买卖、出口、出境等须遵照《人类遗传资源管理暂行办法》相关规定执行。涉及实验动物和动物实验，要遵守国家实验动物管理的法律、法规、技术标准及有关规定，使用合格实验动物，在合格设施内进行动物实验，保证实验过程合法，实验结果真实、有效，并通过实验动物福利和伦理审查。申报本专项则视为同意本条款。</w:t>
      </w:r>
    </w:p>
    <w:p>
      <w:pPr>
        <w:widowControl/>
        <w:shd w:val="clear" w:color="auto" w:fill="FFFFFF"/>
        <w:adjustRightInd w:val="0"/>
        <w:snapToGrid w:val="0"/>
        <w:spacing w:before="156" w:beforeLines="50" w:after="156" w:afterLines="50" w:line="360" w:lineRule="auto"/>
        <w:ind w:firstLine="468" w:firstLineChars="195"/>
        <w:rPr>
          <w:rFonts w:ascii="仿宋" w:hAnsi="仿宋" w:eastAsia="仿宋"/>
          <w:color w:val="auto"/>
          <w:kern w:val="0"/>
          <w:sz w:val="24"/>
          <w:szCs w:val="24"/>
        </w:rPr>
      </w:pPr>
      <w:r>
        <w:rPr>
          <w:rFonts w:hint="eastAsia" w:ascii="仿宋" w:hAnsi="仿宋" w:eastAsia="仿宋"/>
          <w:color w:val="auto"/>
          <w:kern w:val="0"/>
          <w:sz w:val="24"/>
          <w:szCs w:val="24"/>
        </w:rPr>
        <w:t>4.对于拟支持项目数为1-2个的指南方向，原则上该方向只立1个，仅在申报项目评审结果相近、技术路线明显不同的情况下，可同时支持2个项目，并建立动态调整机制，根据中期评估结果考虑后续择优支持，择优选择1个或多个项目继续支持。</w:t>
      </w:r>
    </w:p>
    <w:sectPr>
      <w:footerReference r:id="rId3" w:type="default"/>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inherit">
    <w:altName w:val="宋体"/>
    <w:panose1 w:val="00000000000000000000"/>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Helvetica Neue">
    <w:altName w:val="宋体"/>
    <w:panose1 w:val="00000000000000000000"/>
    <w:charset w:val="01"/>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7"/>
                            <w:rPr>
                              <w:rFonts w:eastAsia="宋体"/>
                            </w:rPr>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7"/>
                      <w:rPr>
                        <w:rFonts w:eastAsia="宋体"/>
                      </w:rPr>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hideSpellingErrors/>
  <w:hideGrammatical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826"/>
    <w:rsid w:val="00006405"/>
    <w:rsid w:val="000A3695"/>
    <w:rsid w:val="000F2F14"/>
    <w:rsid w:val="0010484A"/>
    <w:rsid w:val="00127362"/>
    <w:rsid w:val="001463DD"/>
    <w:rsid w:val="001B176E"/>
    <w:rsid w:val="001D76B4"/>
    <w:rsid w:val="00233ACF"/>
    <w:rsid w:val="00243A9D"/>
    <w:rsid w:val="002744FA"/>
    <w:rsid w:val="0027541A"/>
    <w:rsid w:val="002C2F1D"/>
    <w:rsid w:val="003202D7"/>
    <w:rsid w:val="00375F0D"/>
    <w:rsid w:val="00386BDB"/>
    <w:rsid w:val="003C0AE1"/>
    <w:rsid w:val="003C3EC0"/>
    <w:rsid w:val="003F1056"/>
    <w:rsid w:val="003F2396"/>
    <w:rsid w:val="0040558E"/>
    <w:rsid w:val="00453BB9"/>
    <w:rsid w:val="00477826"/>
    <w:rsid w:val="004A7125"/>
    <w:rsid w:val="004D1B5C"/>
    <w:rsid w:val="004D5941"/>
    <w:rsid w:val="00535E4D"/>
    <w:rsid w:val="00546C02"/>
    <w:rsid w:val="00651426"/>
    <w:rsid w:val="00674419"/>
    <w:rsid w:val="00677203"/>
    <w:rsid w:val="006C3A5A"/>
    <w:rsid w:val="00717E77"/>
    <w:rsid w:val="007E6717"/>
    <w:rsid w:val="007F780A"/>
    <w:rsid w:val="00816FD0"/>
    <w:rsid w:val="00824DF4"/>
    <w:rsid w:val="00841595"/>
    <w:rsid w:val="008E72BA"/>
    <w:rsid w:val="0091796D"/>
    <w:rsid w:val="009230FB"/>
    <w:rsid w:val="009562C0"/>
    <w:rsid w:val="00A177E2"/>
    <w:rsid w:val="00B76010"/>
    <w:rsid w:val="00BA6BA5"/>
    <w:rsid w:val="00C225F4"/>
    <w:rsid w:val="00C6381C"/>
    <w:rsid w:val="00C70B8E"/>
    <w:rsid w:val="00CA28FF"/>
    <w:rsid w:val="00CD396A"/>
    <w:rsid w:val="00D02C19"/>
    <w:rsid w:val="00D0717B"/>
    <w:rsid w:val="00D109B0"/>
    <w:rsid w:val="00D520F3"/>
    <w:rsid w:val="00D54B9D"/>
    <w:rsid w:val="00D73723"/>
    <w:rsid w:val="00D73F0E"/>
    <w:rsid w:val="00D84471"/>
    <w:rsid w:val="00D85722"/>
    <w:rsid w:val="00DB089F"/>
    <w:rsid w:val="00DC101D"/>
    <w:rsid w:val="00DF36C4"/>
    <w:rsid w:val="00E23C4C"/>
    <w:rsid w:val="00E36757"/>
    <w:rsid w:val="00E640F1"/>
    <w:rsid w:val="00E840A8"/>
    <w:rsid w:val="00EB6FC4"/>
    <w:rsid w:val="00F0015E"/>
    <w:rsid w:val="00F157C2"/>
    <w:rsid w:val="00F3088A"/>
    <w:rsid w:val="00F60134"/>
    <w:rsid w:val="00FF68C3"/>
    <w:rsid w:val="08D73516"/>
    <w:rsid w:val="0CED339D"/>
    <w:rsid w:val="10274AF9"/>
    <w:rsid w:val="1A737D2F"/>
    <w:rsid w:val="1FDB40CB"/>
    <w:rsid w:val="23E1602D"/>
    <w:rsid w:val="26522759"/>
    <w:rsid w:val="2C924B11"/>
    <w:rsid w:val="2E53255C"/>
    <w:rsid w:val="34B87684"/>
    <w:rsid w:val="37B84D98"/>
    <w:rsid w:val="388B350F"/>
    <w:rsid w:val="3B053A81"/>
    <w:rsid w:val="3D063CBA"/>
    <w:rsid w:val="42965232"/>
    <w:rsid w:val="448B32AC"/>
    <w:rsid w:val="488737FB"/>
    <w:rsid w:val="48BC539F"/>
    <w:rsid w:val="4B2D5FDE"/>
    <w:rsid w:val="4D7B7D1D"/>
    <w:rsid w:val="4ECC236F"/>
    <w:rsid w:val="54193908"/>
    <w:rsid w:val="54411FF1"/>
    <w:rsid w:val="56596E3D"/>
    <w:rsid w:val="56CF6F08"/>
    <w:rsid w:val="5A70265D"/>
    <w:rsid w:val="61BF65E6"/>
    <w:rsid w:val="684D59A3"/>
    <w:rsid w:val="68C47BE6"/>
    <w:rsid w:val="76DC5763"/>
    <w:rsid w:val="78F9431D"/>
    <w:rsid w:val="78FD75AA"/>
    <w:rsid w:val="7E76265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semiHidden="0" w:name="heading 2"/>
    <w:lsdException w:qFormat="1"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inherit" w:hAnsi="inherit" w:eastAsia="宋体" w:cs="Times New Roman"/>
      <w:color w:val="000000"/>
      <w:kern w:val="2"/>
      <w:sz w:val="21"/>
      <w:lang w:val="en-US" w:eastAsia="zh-CN" w:bidi="ar-SA"/>
    </w:rPr>
  </w:style>
  <w:style w:type="paragraph" w:styleId="2">
    <w:name w:val="heading 1"/>
    <w:basedOn w:val="1"/>
    <w:next w:val="1"/>
    <w:link w:val="14"/>
    <w:qFormat/>
    <w:uiPriority w:val="99"/>
    <w:pPr>
      <w:keepNext/>
      <w:keepLines/>
      <w:spacing w:before="340" w:after="330" w:line="578" w:lineRule="auto"/>
      <w:outlineLvl w:val="0"/>
    </w:pPr>
    <w:rPr>
      <w:rFonts w:ascii="Times New Roman" w:hAnsi="Times New Roman"/>
      <w:b/>
      <w:bCs/>
      <w:color w:val="auto"/>
      <w:kern w:val="44"/>
      <w:sz w:val="44"/>
      <w:szCs w:val="44"/>
      <w:lang w:val="zh-CN"/>
    </w:rPr>
  </w:style>
  <w:style w:type="paragraph" w:styleId="3">
    <w:name w:val="heading 2"/>
    <w:basedOn w:val="1"/>
    <w:next w:val="1"/>
    <w:link w:val="15"/>
    <w:unhideWhenUsed/>
    <w:qFormat/>
    <w:uiPriority w:val="9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6"/>
    <w:unhideWhenUsed/>
    <w:qFormat/>
    <w:uiPriority w:val="99"/>
    <w:pPr>
      <w:keepNext/>
      <w:keepLines/>
      <w:spacing w:before="260" w:after="260" w:line="416" w:lineRule="auto"/>
      <w:outlineLvl w:val="2"/>
    </w:pPr>
    <w:rPr>
      <w:b/>
      <w:bCs/>
      <w:sz w:val="32"/>
      <w:szCs w:val="32"/>
    </w:rPr>
  </w:style>
  <w:style w:type="character" w:default="1" w:styleId="10">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5">
    <w:name w:val="Document Map"/>
    <w:basedOn w:val="1"/>
    <w:link w:val="21"/>
    <w:semiHidden/>
    <w:unhideWhenUsed/>
    <w:qFormat/>
    <w:uiPriority w:val="99"/>
    <w:rPr>
      <w:rFonts w:ascii="宋体"/>
      <w:sz w:val="18"/>
      <w:szCs w:val="18"/>
    </w:rPr>
  </w:style>
  <w:style w:type="paragraph" w:styleId="6">
    <w:name w:val="Balloon Text"/>
    <w:basedOn w:val="1"/>
    <w:link w:val="18"/>
    <w:semiHidden/>
    <w:unhideWhenUsed/>
    <w:qFormat/>
    <w:uiPriority w:val="99"/>
    <w:pPr>
      <w:spacing w:after="0" w:line="240" w:lineRule="auto"/>
    </w:pPr>
    <w:rPr>
      <w:sz w:val="18"/>
      <w:szCs w:val="18"/>
    </w:rPr>
  </w:style>
  <w:style w:type="paragraph" w:styleId="7">
    <w:name w:val="footer"/>
    <w:basedOn w:val="1"/>
    <w:link w:val="13"/>
    <w:unhideWhenUsed/>
    <w:qFormat/>
    <w:uiPriority w:val="99"/>
    <w:pPr>
      <w:tabs>
        <w:tab w:val="center" w:pos="4153"/>
        <w:tab w:val="right" w:pos="8306"/>
      </w:tabs>
      <w:snapToGrid w:val="0"/>
      <w:spacing w:after="0" w:line="240" w:lineRule="auto"/>
      <w:jc w:val="left"/>
    </w:pPr>
    <w:rPr>
      <w:rFonts w:asciiTheme="minorHAnsi" w:hAnsiTheme="minorHAnsi" w:eastAsiaTheme="minorEastAsia" w:cstheme="minorBidi"/>
      <w:color w:val="auto"/>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spacing w:after="0" w:line="240" w:lineRule="auto"/>
      <w:jc w:val="center"/>
    </w:pPr>
    <w:rPr>
      <w:rFonts w:asciiTheme="minorHAnsi" w:hAnsiTheme="minorHAnsi" w:eastAsiaTheme="minorEastAsia" w:cstheme="minorBidi"/>
      <w:color w:val="auto"/>
      <w:sz w:val="18"/>
      <w:szCs w:val="18"/>
    </w:rPr>
  </w:style>
  <w:style w:type="paragraph" w:styleId="9">
    <w:name w:val="Normal (Web)"/>
    <w:basedOn w:val="1"/>
    <w:qFormat/>
    <w:uiPriority w:val="99"/>
    <w:pPr>
      <w:spacing w:after="0" w:line="240" w:lineRule="auto"/>
    </w:pPr>
    <w:rPr>
      <w:rFonts w:ascii="等线" w:hAnsi="等线" w:eastAsia="等线"/>
      <w:color w:val="auto"/>
      <w:sz w:val="24"/>
      <w:szCs w:val="24"/>
    </w:rPr>
  </w:style>
  <w:style w:type="character" w:customStyle="1" w:styleId="12">
    <w:name w:val="页眉 Char"/>
    <w:basedOn w:val="10"/>
    <w:link w:val="8"/>
    <w:qFormat/>
    <w:uiPriority w:val="99"/>
    <w:rPr>
      <w:sz w:val="18"/>
      <w:szCs w:val="18"/>
    </w:rPr>
  </w:style>
  <w:style w:type="character" w:customStyle="1" w:styleId="13">
    <w:name w:val="页脚 Char"/>
    <w:basedOn w:val="10"/>
    <w:link w:val="7"/>
    <w:qFormat/>
    <w:uiPriority w:val="99"/>
    <w:rPr>
      <w:sz w:val="18"/>
      <w:szCs w:val="18"/>
    </w:rPr>
  </w:style>
  <w:style w:type="character" w:customStyle="1" w:styleId="14">
    <w:name w:val="标题 1 Char"/>
    <w:basedOn w:val="10"/>
    <w:link w:val="2"/>
    <w:qFormat/>
    <w:uiPriority w:val="99"/>
    <w:rPr>
      <w:rFonts w:ascii="Times New Roman" w:hAnsi="Times New Roman" w:eastAsia="宋体" w:cs="Times New Roman"/>
      <w:b/>
      <w:bCs/>
      <w:kern w:val="44"/>
      <w:sz w:val="44"/>
      <w:szCs w:val="44"/>
      <w:lang w:val="zh-CN" w:eastAsia="zh-CN"/>
    </w:rPr>
  </w:style>
  <w:style w:type="character" w:customStyle="1" w:styleId="15">
    <w:name w:val="标题 2 Char"/>
    <w:basedOn w:val="10"/>
    <w:link w:val="3"/>
    <w:qFormat/>
    <w:uiPriority w:val="99"/>
    <w:rPr>
      <w:rFonts w:asciiTheme="majorHAnsi" w:hAnsiTheme="majorHAnsi" w:eastAsiaTheme="majorEastAsia" w:cstheme="majorBidi"/>
      <w:b/>
      <w:bCs/>
      <w:color w:val="000000"/>
      <w:sz w:val="32"/>
      <w:szCs w:val="32"/>
    </w:rPr>
  </w:style>
  <w:style w:type="character" w:customStyle="1" w:styleId="16">
    <w:name w:val="标题 3 Char"/>
    <w:basedOn w:val="10"/>
    <w:link w:val="4"/>
    <w:qFormat/>
    <w:uiPriority w:val="99"/>
    <w:rPr>
      <w:rFonts w:ascii="inherit" w:hAnsi="inherit" w:eastAsia="宋体" w:cs="Times New Roman"/>
      <w:b/>
      <w:bCs/>
      <w:color w:val="000000"/>
      <w:sz w:val="32"/>
      <w:szCs w:val="32"/>
    </w:rPr>
  </w:style>
  <w:style w:type="paragraph" w:customStyle="1" w:styleId="17">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8">
    <w:name w:val="批注框文本 Char"/>
    <w:basedOn w:val="10"/>
    <w:link w:val="6"/>
    <w:semiHidden/>
    <w:qFormat/>
    <w:uiPriority w:val="99"/>
    <w:rPr>
      <w:rFonts w:ascii="inherit" w:hAnsi="inherit" w:eastAsia="宋体" w:cs="Times New Roman"/>
      <w:color w:val="000000"/>
      <w:sz w:val="18"/>
      <w:szCs w:val="18"/>
    </w:rPr>
  </w:style>
  <w:style w:type="paragraph" w:styleId="19">
    <w:name w:val="List Paragraph"/>
    <w:basedOn w:val="1"/>
    <w:qFormat/>
    <w:uiPriority w:val="99"/>
    <w:pPr>
      <w:spacing w:after="0" w:line="240" w:lineRule="auto"/>
      <w:ind w:firstLine="420" w:firstLineChars="200"/>
    </w:pPr>
    <w:rPr>
      <w:rFonts w:ascii="Times New Roman" w:hAnsi="Times New Roman"/>
      <w:color w:val="auto"/>
      <w:szCs w:val="21"/>
    </w:rPr>
  </w:style>
  <w:style w:type="paragraph" w:customStyle="1" w:styleId="20">
    <w:name w:val="修订1"/>
    <w:hidden/>
    <w:semiHidden/>
    <w:qFormat/>
    <w:uiPriority w:val="99"/>
    <w:rPr>
      <w:rFonts w:ascii="inherit" w:hAnsi="inherit" w:eastAsia="宋体" w:cs="Times New Roman"/>
      <w:color w:val="000000"/>
      <w:kern w:val="2"/>
      <w:sz w:val="21"/>
      <w:lang w:val="en-US" w:eastAsia="zh-CN" w:bidi="ar-SA"/>
    </w:rPr>
  </w:style>
  <w:style w:type="character" w:customStyle="1" w:styleId="21">
    <w:name w:val="文档结构图 Char"/>
    <w:basedOn w:val="10"/>
    <w:link w:val="5"/>
    <w:semiHidden/>
    <w:qFormat/>
    <w:uiPriority w:val="99"/>
    <w:rPr>
      <w:rFonts w:ascii="宋体" w:hAnsi="inherit" w:eastAsia="宋体" w:cs="Times New Roman"/>
      <w:color w:val="000000"/>
      <w:kern w:val="2"/>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2064</Words>
  <Characters>11771</Characters>
  <Lines>98</Lines>
  <Paragraphs>27</Paragraphs>
  <ScaleCrop>false</ScaleCrop>
  <LinksUpToDate>false</LinksUpToDate>
  <CharactersWithSpaces>13808</CharactersWithSpaces>
  <Application>WPS Office_10.1.0.7106_F1E327BC-269C-435d-A152-05C5408002CA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2018-02-12T13:43:00Z</dcterms:created>
  <dc:creator>KYC</dc:creator>
  <lastModifiedBy>lenovo</lastModifiedBy>
  <lastPrinted>2018-02-12T13:43:00Z</lastPrinted>
  <dcterms:modified xsi:type="dcterms:W3CDTF">2018-02-13T02:30:55Z</dcterms:modified>
  <revision>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